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A" w:rsidRDefault="00BF61AA" w:rsidP="00441A67">
      <w:pPr>
        <w:jc w:val="center"/>
        <w:rPr>
          <w:i/>
          <w:szCs w:val="28"/>
        </w:rPr>
      </w:pPr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F666EF" w:rsidRPr="00F666EF">
        <w:rPr>
          <w:rFonts w:ascii="Times New Roman" w:hAnsi="Times New Roman"/>
          <w:szCs w:val="28"/>
          <w:lang w:val="ru-RU"/>
        </w:rPr>
        <w:t>21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2B3649" w:rsidRPr="00F666EF">
        <w:rPr>
          <w:rFonts w:ascii="Times New Roman" w:hAnsi="Times New Roman"/>
          <w:szCs w:val="28"/>
          <w:lang w:val="ru-RU"/>
        </w:rPr>
        <w:t>июня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21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F666EF" w:rsidRPr="00F666EF">
        <w:rPr>
          <w:rFonts w:ascii="Times New Roman" w:hAnsi="Times New Roman"/>
          <w:szCs w:val="28"/>
          <w:lang w:val="ru-RU"/>
        </w:rPr>
        <w:t>275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57F5F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>Об утверждении Порядка и условий заключения соглашений</w:t>
      </w:r>
    </w:p>
    <w:p w:rsidR="004B7330" w:rsidRPr="004B7330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 xml:space="preserve"> о защите и поощрении капиталовложений </w:t>
      </w:r>
    </w:p>
    <w:p w:rsidR="004B7330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Default="004B7330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51443C">
        <w:rPr>
          <w:szCs w:val="28"/>
        </w:rPr>
        <w:t xml:space="preserve">В соответствии с </w:t>
      </w:r>
      <w:r w:rsidRPr="0051443C">
        <w:rPr>
          <w:szCs w:val="28"/>
          <w:shd w:val="clear" w:color="auto" w:fill="FFFFFF"/>
        </w:rPr>
        <w:t>Федерал</w:t>
      </w:r>
      <w:r w:rsidR="00F666EF">
        <w:rPr>
          <w:szCs w:val="28"/>
          <w:shd w:val="clear" w:color="auto" w:fill="FFFFFF"/>
        </w:rPr>
        <w:t xml:space="preserve">ьным законом от 1 апреля 2020 </w:t>
      </w:r>
      <w:r w:rsidR="00262C90">
        <w:rPr>
          <w:szCs w:val="28"/>
          <w:shd w:val="clear" w:color="auto" w:fill="FFFFFF"/>
        </w:rPr>
        <w:t>года</w:t>
      </w:r>
      <w:r w:rsidRPr="0051443C">
        <w:rPr>
          <w:szCs w:val="28"/>
          <w:shd w:val="clear" w:color="auto" w:fill="FFFFFF"/>
        </w:rPr>
        <w:t xml:space="preserve"> </w:t>
      </w:r>
      <w:r w:rsidR="00F50CDD">
        <w:rPr>
          <w:szCs w:val="28"/>
          <w:shd w:val="clear" w:color="auto" w:fill="FFFFFF"/>
        </w:rPr>
        <w:t>№</w:t>
      </w:r>
      <w:r w:rsidRPr="0051443C">
        <w:rPr>
          <w:szCs w:val="28"/>
          <w:shd w:val="clear" w:color="auto" w:fill="FFFFFF"/>
        </w:rPr>
        <w:t> 69-ФЗ</w:t>
      </w:r>
      <w:r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"О защите и поощрении капиталовложений в Российской Федерации"</w:t>
      </w:r>
      <w:r w:rsidRPr="0051443C">
        <w:rPr>
          <w:szCs w:val="28"/>
        </w:rPr>
        <w:t xml:space="preserve">, </w:t>
      </w:r>
      <w:r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Cs w:val="28"/>
        </w:rPr>
        <w:t>Сернурского муниципального района</w:t>
      </w:r>
      <w:r w:rsidRPr="00761F3A">
        <w:rPr>
          <w:rFonts w:ascii="Times New Roman" w:hAnsi="Times New Roman"/>
          <w:color w:val="000000"/>
          <w:szCs w:val="28"/>
        </w:rPr>
        <w:t xml:space="preserve"> </w:t>
      </w:r>
      <w:r w:rsidRPr="00837F88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4B7330" w:rsidRPr="0051443C" w:rsidRDefault="004B7330" w:rsidP="00262C90">
      <w:pPr>
        <w:tabs>
          <w:tab w:val="left" w:pos="284"/>
          <w:tab w:val="left" w:pos="1276"/>
        </w:tabs>
        <w:ind w:right="-1" w:firstLine="709"/>
        <w:jc w:val="both"/>
        <w:rPr>
          <w:szCs w:val="28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Pr="0051443C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51443C">
        <w:rPr>
          <w:szCs w:val="28"/>
        </w:rPr>
        <w:t>Порядок и условия заключения соглашений о защите и поощрении капиталовложений.</w:t>
      </w:r>
    </w:p>
    <w:p w:rsidR="0014313A" w:rsidRPr="00B21263" w:rsidRDefault="00761F3A" w:rsidP="00262C90">
      <w:pPr>
        <w:ind w:right="-1" w:firstLine="709"/>
        <w:jc w:val="both"/>
        <w:rPr>
          <w:szCs w:val="28"/>
        </w:rPr>
      </w:pPr>
      <w:r w:rsidRPr="00761F3A">
        <w:rPr>
          <w:rFonts w:ascii="Times New Roman" w:hAnsi="Times New Roman"/>
          <w:color w:val="000000"/>
          <w:szCs w:val="28"/>
        </w:rPr>
        <w:t xml:space="preserve">2. </w:t>
      </w:r>
      <w:r w:rsidR="0014313A" w:rsidRPr="00B21263">
        <w:rPr>
          <w:szCs w:val="28"/>
        </w:rPr>
        <w:t>Настоящее постановление вступает в силу после его обнародования.</w:t>
      </w:r>
    </w:p>
    <w:p w:rsidR="0014313A" w:rsidRPr="001B1179" w:rsidRDefault="0014313A" w:rsidP="00262C90">
      <w:pPr>
        <w:widowControl w:val="0"/>
        <w:autoSpaceDE w:val="0"/>
        <w:ind w:right="-1" w:firstLine="709"/>
        <w:jc w:val="both"/>
        <w:rPr>
          <w:szCs w:val="28"/>
        </w:rPr>
      </w:pPr>
      <w:r>
        <w:rPr>
          <w:szCs w:val="28"/>
        </w:rPr>
        <w:t>3.</w:t>
      </w:r>
      <w:r w:rsidR="00BA5508">
        <w:rPr>
          <w:szCs w:val="28"/>
        </w:rPr>
        <w:t xml:space="preserve"> </w:t>
      </w:r>
      <w:proofErr w:type="gramStart"/>
      <w:r w:rsidRPr="00D778B4">
        <w:rPr>
          <w:szCs w:val="28"/>
        </w:rPr>
        <w:t>Контроль за</w:t>
      </w:r>
      <w:proofErr w:type="gramEnd"/>
      <w:r w:rsidRPr="00D778B4">
        <w:rPr>
          <w:szCs w:val="28"/>
        </w:rPr>
        <w:t xml:space="preserve"> исполнением настоящего постановления возложить </w:t>
      </w:r>
      <w:r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14313A" w:rsidRDefault="0014313A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036228" w:rsidRPr="00D778B4" w:rsidRDefault="00036228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14313A" w:rsidRPr="001B1179" w:rsidRDefault="0014313A" w:rsidP="0014313A">
      <w:pPr>
        <w:tabs>
          <w:tab w:val="left" w:pos="2989"/>
        </w:tabs>
        <w:ind w:firstLine="720"/>
        <w:jc w:val="both"/>
        <w:rPr>
          <w:szCs w:val="28"/>
        </w:rPr>
      </w:pPr>
      <w:r w:rsidRPr="001B1179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4313A" w:rsidRPr="001B1179" w:rsidTr="00237AE4">
        <w:trPr>
          <w:jc w:val="center"/>
        </w:trPr>
        <w:tc>
          <w:tcPr>
            <w:tcW w:w="3476" w:type="dxa"/>
          </w:tcPr>
          <w:p w:rsidR="0014313A" w:rsidRPr="001B1179" w:rsidRDefault="0014313A" w:rsidP="00237AE4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14313A" w:rsidRPr="001B1179" w:rsidRDefault="0014313A" w:rsidP="00237AE4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14313A" w:rsidRPr="001B1179" w:rsidRDefault="0014313A" w:rsidP="00237AE4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14313A" w:rsidRPr="001B1179" w:rsidRDefault="0014313A" w:rsidP="00237AE4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4313A" w:rsidRPr="001B1179" w:rsidRDefault="0014313A" w:rsidP="00237AE4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4313A" w:rsidRPr="001B1179" w:rsidRDefault="0014313A" w:rsidP="00237AE4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761F3A" w:rsidRPr="00761F3A" w:rsidRDefault="00761F3A" w:rsidP="00761F3A">
      <w:pPr>
        <w:jc w:val="both"/>
        <w:rPr>
          <w:rFonts w:ascii="Times New Roman" w:hAnsi="Times New Roman"/>
          <w:sz w:val="20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57F5F" w:rsidRDefault="00D57F5F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36228" w:rsidRDefault="0003622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95B68" w:rsidRDefault="00795B6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95B68" w:rsidRDefault="00795B68" w:rsidP="00761F3A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262C90" w:rsidRDefault="00262C90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pStyle w:val="ac"/>
        <w:ind w:left="0" w:firstLine="709"/>
        <w:jc w:val="both"/>
        <w:rPr>
          <w:sz w:val="28"/>
          <w:szCs w:val="28"/>
        </w:rPr>
      </w:pPr>
    </w:p>
    <w:p w:rsidR="00795B68" w:rsidRDefault="00795B68" w:rsidP="00795B68">
      <w:pPr>
        <w:rPr>
          <w:sz w:val="20"/>
        </w:rPr>
      </w:pPr>
    </w:p>
    <w:p w:rsidR="00795B68" w:rsidRDefault="00795B68" w:rsidP="00795B68">
      <w:pPr>
        <w:rPr>
          <w:sz w:val="20"/>
        </w:rPr>
      </w:pPr>
      <w:bookmarkStart w:id="0" w:name="_GoBack"/>
      <w:bookmarkEnd w:id="0"/>
    </w:p>
    <w:p w:rsidR="00795B68" w:rsidRPr="001A6947" w:rsidRDefault="00795B68" w:rsidP="00795B68">
      <w:pPr>
        <w:rPr>
          <w:sz w:val="20"/>
        </w:rPr>
      </w:pPr>
      <w:r>
        <w:rPr>
          <w:sz w:val="20"/>
        </w:rPr>
        <w:t>Исп. Росляков В.И.</w:t>
      </w:r>
    </w:p>
    <w:p w:rsidR="00795B68" w:rsidRDefault="00795B68" w:rsidP="00795B68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795B68" w:rsidRDefault="00795B68" w:rsidP="00795B68">
      <w:pPr>
        <w:rPr>
          <w:sz w:val="20"/>
        </w:rPr>
      </w:pPr>
    </w:p>
    <w:p w:rsidR="00795B68" w:rsidRDefault="00795B68" w:rsidP="00795B68">
      <w:pPr>
        <w:autoSpaceDE w:val="0"/>
        <w:autoSpaceDN w:val="0"/>
        <w:adjustRightInd w:val="0"/>
        <w:rPr>
          <w:rFonts w:eastAsia="Calibri"/>
          <w:szCs w:val="28"/>
        </w:rPr>
      </w:pPr>
    </w:p>
    <w:p w:rsidR="00795B68" w:rsidRDefault="00795B68" w:rsidP="00795B68">
      <w:pPr>
        <w:shd w:val="clear" w:color="auto" w:fill="FFFFFF"/>
        <w:rPr>
          <w:sz w:val="20"/>
        </w:rPr>
      </w:pPr>
    </w:p>
    <w:p w:rsidR="00795B68" w:rsidRPr="006B45AF" w:rsidRDefault="00795B68" w:rsidP="00795B68">
      <w:pPr>
        <w:shd w:val="clear" w:color="auto" w:fill="FFFFFF"/>
        <w:rPr>
          <w:sz w:val="20"/>
        </w:rPr>
      </w:pPr>
    </w:p>
    <w:p w:rsidR="00795B68" w:rsidRDefault="00795B68" w:rsidP="00795B68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795B68" w:rsidRPr="006B45AF" w:rsidRDefault="00795B68" w:rsidP="00795B68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5245"/>
        <w:gridCol w:w="1800"/>
      </w:tblGrid>
      <w:tr w:rsidR="00795B68" w:rsidRPr="006B45AF" w:rsidTr="007425D3">
        <w:trPr>
          <w:trHeight w:val="277"/>
        </w:trPr>
        <w:tc>
          <w:tcPr>
            <w:tcW w:w="5245" w:type="dxa"/>
            <w:shd w:val="clear" w:color="auto" w:fill="auto"/>
          </w:tcPr>
          <w:p w:rsidR="00795B68" w:rsidRDefault="00795B68" w:rsidP="007425D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  <w:r w:rsidR="00B575BB">
              <w:rPr>
                <w:sz w:val="20"/>
              </w:rPr>
              <w:t xml:space="preserve">Сернурского муниципального района </w:t>
            </w:r>
            <w:r>
              <w:rPr>
                <w:sz w:val="20"/>
              </w:rPr>
              <w:t>по экономическому развитию территории</w:t>
            </w:r>
            <w:r w:rsidR="0088049F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795B68" w:rsidRPr="006B45AF" w:rsidRDefault="00795B68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795B68" w:rsidRPr="006B45AF" w:rsidTr="007425D3">
        <w:trPr>
          <w:trHeight w:val="277"/>
        </w:trPr>
        <w:tc>
          <w:tcPr>
            <w:tcW w:w="5245" w:type="dxa"/>
            <w:shd w:val="clear" w:color="auto" w:fill="auto"/>
          </w:tcPr>
          <w:p w:rsidR="00795B68" w:rsidRDefault="00795B68" w:rsidP="007425D3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795B68" w:rsidRPr="006B45AF" w:rsidRDefault="00F666EF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21</w:t>
            </w:r>
            <w:r w:rsidR="00795B68">
              <w:rPr>
                <w:iCs/>
                <w:spacing w:val="-6"/>
                <w:sz w:val="20"/>
              </w:rPr>
              <w:t>.06.2021</w:t>
            </w:r>
            <w:r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795B68" w:rsidRPr="006B45AF" w:rsidTr="007425D3">
        <w:trPr>
          <w:trHeight w:val="277"/>
        </w:trPr>
        <w:tc>
          <w:tcPr>
            <w:tcW w:w="5245" w:type="dxa"/>
            <w:shd w:val="clear" w:color="auto" w:fill="auto"/>
          </w:tcPr>
          <w:p w:rsidR="00F666EF" w:rsidRDefault="00F666EF" w:rsidP="007425D3">
            <w:pPr>
              <w:shd w:val="clear" w:color="auto" w:fill="FFFFFF"/>
              <w:rPr>
                <w:sz w:val="20"/>
              </w:rPr>
            </w:pPr>
          </w:p>
          <w:p w:rsidR="00795B68" w:rsidRDefault="0088049F" w:rsidP="007425D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r w:rsidR="00795B68">
              <w:rPr>
                <w:sz w:val="20"/>
              </w:rPr>
              <w:t xml:space="preserve"> финансов</w:t>
            </w:r>
            <w:r>
              <w:rPr>
                <w:sz w:val="20"/>
              </w:rPr>
              <w:t>ого управления</w:t>
            </w:r>
            <w:r w:rsidR="00795B68">
              <w:rPr>
                <w:sz w:val="20"/>
              </w:rPr>
              <w:t xml:space="preserve"> администрации </w:t>
            </w:r>
          </w:p>
          <w:p w:rsidR="00795B68" w:rsidRDefault="00795B68" w:rsidP="007425D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Сернурского муниципального района</w:t>
            </w:r>
          </w:p>
          <w:p w:rsidR="00795B68" w:rsidRDefault="00795B68" w:rsidP="00F666EF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</w:t>
            </w:r>
            <w:r w:rsidR="00F666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F666EF">
              <w:rPr>
                <w:sz w:val="20"/>
              </w:rPr>
              <w:t xml:space="preserve">   Рябинина В.В.</w:t>
            </w:r>
          </w:p>
          <w:p w:rsidR="00795B68" w:rsidRDefault="00795B68" w:rsidP="007425D3">
            <w:pPr>
              <w:shd w:val="clear" w:color="auto" w:fill="FFFFFF"/>
              <w:rPr>
                <w:sz w:val="20"/>
              </w:rPr>
            </w:pPr>
          </w:p>
          <w:p w:rsidR="00795B68" w:rsidRDefault="00795B68" w:rsidP="007425D3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 w:rsidR="00B575BB"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795B68" w:rsidRDefault="00795B68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795B68" w:rsidRDefault="00795B68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F666EF" w:rsidRDefault="00F666EF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795B68" w:rsidRPr="006B45AF" w:rsidRDefault="00F666EF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21</w:t>
            </w:r>
            <w:r w:rsidR="00795B68">
              <w:rPr>
                <w:iCs/>
                <w:spacing w:val="-6"/>
                <w:sz w:val="20"/>
              </w:rPr>
              <w:t>.06.2021</w:t>
            </w:r>
            <w:r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795B68" w:rsidRPr="006B45AF" w:rsidTr="007425D3">
        <w:trPr>
          <w:trHeight w:val="277"/>
        </w:trPr>
        <w:tc>
          <w:tcPr>
            <w:tcW w:w="5245" w:type="dxa"/>
            <w:shd w:val="clear" w:color="auto" w:fill="auto"/>
          </w:tcPr>
          <w:p w:rsidR="00795B68" w:rsidRDefault="00795B68" w:rsidP="007425D3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795B68" w:rsidRPr="006B45AF" w:rsidRDefault="00F666EF" w:rsidP="007425D3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21</w:t>
            </w:r>
            <w:r w:rsidR="00795B68">
              <w:rPr>
                <w:iCs/>
                <w:spacing w:val="-6"/>
                <w:sz w:val="20"/>
              </w:rPr>
              <w:t>.06.2021</w:t>
            </w:r>
            <w:r>
              <w:rPr>
                <w:iCs/>
                <w:spacing w:val="-6"/>
                <w:sz w:val="20"/>
              </w:rPr>
              <w:t xml:space="preserve"> г.</w:t>
            </w:r>
          </w:p>
        </w:tc>
      </w:tr>
    </w:tbl>
    <w:p w:rsidR="00761F3A" w:rsidRPr="00795B68" w:rsidRDefault="00761F3A" w:rsidP="00F666EF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 w:rsidRPr="00795B68">
        <w:rPr>
          <w:rFonts w:ascii="Times New Roman" w:hAnsi="Times New Roman"/>
          <w:sz w:val="20"/>
          <w:lang w:eastAsia="en-US"/>
        </w:rPr>
        <w:lastRenderedPageBreak/>
        <w:t>Приложение</w:t>
      </w:r>
    </w:p>
    <w:p w:rsidR="00761F3A" w:rsidRPr="00795B68" w:rsidRDefault="00761F3A" w:rsidP="00F666EF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795B68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761F3A" w:rsidRPr="00795B68" w:rsidRDefault="00837F88" w:rsidP="00F666EF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795B68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761F3A" w:rsidRPr="00795B68" w:rsidRDefault="00F666EF" w:rsidP="00F666EF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>от 21</w:t>
      </w:r>
      <w:r w:rsidR="00761F3A" w:rsidRPr="00795B68">
        <w:rPr>
          <w:rFonts w:ascii="Times New Roman" w:hAnsi="Times New Roman"/>
          <w:sz w:val="20"/>
          <w:lang w:eastAsia="en-US"/>
        </w:rPr>
        <w:t>.06.202</w:t>
      </w:r>
      <w:r w:rsidR="0014313A" w:rsidRPr="00795B68">
        <w:rPr>
          <w:rFonts w:ascii="Times New Roman" w:hAnsi="Times New Roman"/>
          <w:sz w:val="20"/>
          <w:lang w:eastAsia="en-US"/>
        </w:rPr>
        <w:t>1</w:t>
      </w:r>
      <w:r w:rsidR="00761F3A" w:rsidRPr="00795B68">
        <w:rPr>
          <w:rFonts w:ascii="Times New Roman" w:hAnsi="Times New Roman"/>
          <w:sz w:val="20"/>
          <w:lang w:eastAsia="en-US"/>
        </w:rPr>
        <w:t xml:space="preserve"> г. № </w:t>
      </w:r>
      <w:r>
        <w:rPr>
          <w:rFonts w:ascii="Times New Roman" w:hAnsi="Times New Roman"/>
          <w:sz w:val="20"/>
          <w:lang w:eastAsia="en-US"/>
        </w:rPr>
        <w:t>275</w:t>
      </w:r>
    </w:p>
    <w:p w:rsidR="00761F3A" w:rsidRPr="00795B68" w:rsidRDefault="00761F3A" w:rsidP="00795B68">
      <w:pPr>
        <w:jc w:val="center"/>
        <w:rPr>
          <w:rFonts w:ascii="Times New Roman" w:eastAsia="Calibri" w:hAnsi="Times New Roman"/>
          <w:sz w:val="20"/>
        </w:rPr>
      </w:pPr>
    </w:p>
    <w:p w:rsidR="000620BB" w:rsidRDefault="000620BB" w:rsidP="000620BB">
      <w:pPr>
        <w:ind w:firstLine="567"/>
        <w:jc w:val="center"/>
        <w:rPr>
          <w:b/>
          <w:szCs w:val="28"/>
        </w:rPr>
      </w:pPr>
    </w:p>
    <w:p w:rsidR="00F666EF" w:rsidRPr="0051443C" w:rsidRDefault="00F666EF" w:rsidP="000620BB">
      <w:pPr>
        <w:ind w:firstLine="567"/>
        <w:jc w:val="center"/>
        <w:rPr>
          <w:b/>
          <w:szCs w:val="28"/>
        </w:rPr>
      </w:pPr>
    </w:p>
    <w:p w:rsidR="001E7736" w:rsidRDefault="001E7736" w:rsidP="00F666E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>Порядок и условия</w:t>
      </w:r>
      <w:r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Pr="001E7736">
        <w:rPr>
          <w:rFonts w:ascii="Times New Roman" w:hAnsi="Times New Roman"/>
          <w:b/>
          <w:bCs/>
          <w:szCs w:val="28"/>
          <w:lang w:eastAsia="ar-SA"/>
        </w:rPr>
        <w:t>заключения соглашений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 xml:space="preserve"> о защите и поощрении капиталовложений </w:t>
      </w:r>
    </w:p>
    <w:p w:rsidR="001E7736" w:rsidRPr="00262C90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Cs w:val="28"/>
          <w:lang w:eastAsia="ar-SA"/>
        </w:rPr>
      </w:pPr>
    </w:p>
    <w:p w:rsidR="001E7736" w:rsidRPr="00262C90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Cs w:val="28"/>
          <w:lang w:eastAsia="ar-SA"/>
        </w:rPr>
      </w:pPr>
    </w:p>
    <w:p w:rsidR="001E7736" w:rsidRPr="00262C90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Cs w:val="28"/>
          <w:lang w:eastAsia="ar-SA"/>
        </w:rPr>
      </w:pPr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Настоящий Порядок разра</w:t>
      </w:r>
      <w:r w:rsidR="00262C90">
        <w:rPr>
          <w:rFonts w:ascii="Times New Roman" w:hAnsi="Times New Roman"/>
          <w:szCs w:val="28"/>
          <w:shd w:val="clear" w:color="auto" w:fill="FFFFFF"/>
        </w:rPr>
        <w:t xml:space="preserve">ботан в соответствии с частью 8 статьи 4 </w:t>
      </w:r>
      <w:r w:rsidRPr="001E7736">
        <w:rPr>
          <w:rFonts w:ascii="Times New Roman" w:hAnsi="Times New Roman"/>
          <w:szCs w:val="28"/>
          <w:shd w:val="clear" w:color="auto" w:fill="FFFFFF"/>
        </w:rPr>
        <w:t>Федер</w:t>
      </w:r>
      <w:r w:rsidR="00262C90">
        <w:rPr>
          <w:rFonts w:ascii="Times New Roman" w:hAnsi="Times New Roman"/>
          <w:szCs w:val="28"/>
          <w:shd w:val="clear" w:color="auto" w:fill="FFFFFF"/>
        </w:rPr>
        <w:t xml:space="preserve">ального закона от 1 апреля 2020 </w:t>
      </w:r>
      <w:r w:rsidRPr="001E7736">
        <w:rPr>
          <w:rFonts w:ascii="Times New Roman" w:hAnsi="Times New Roman"/>
          <w:szCs w:val="28"/>
          <w:shd w:val="clear" w:color="auto" w:fill="FFFFFF"/>
        </w:rPr>
        <w:t>г. № 69-ФЗ «О защите и поощрении капиталовложений в Российской Федерации» (далее</w:t>
      </w:r>
      <w:r w:rsidR="00262C90">
        <w:rPr>
          <w:rFonts w:ascii="Times New Roman" w:hAnsi="Times New Roman"/>
          <w:szCs w:val="28"/>
          <w:shd w:val="clear" w:color="auto" w:fill="FFFFFF"/>
        </w:rPr>
        <w:t xml:space="preserve"> - Федеральный закон № 69-ФЗ)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 xml:space="preserve">и </w:t>
      </w:r>
      <w:proofErr w:type="gramStart"/>
      <w:r w:rsidRPr="001E7736">
        <w:rPr>
          <w:rFonts w:ascii="Times New Roman" w:hAnsi="Times New Roman"/>
          <w:szCs w:val="28"/>
          <w:shd w:val="clear" w:color="auto" w:fill="FFFFFF"/>
        </w:rPr>
        <w:t>устанавливает условия</w:t>
      </w:r>
      <w:proofErr w:type="gramEnd"/>
      <w:r w:rsidRPr="001E7736">
        <w:rPr>
          <w:rFonts w:ascii="Times New Roman" w:hAnsi="Times New Roman"/>
          <w:szCs w:val="28"/>
          <w:shd w:val="clear" w:color="auto" w:fill="FFFFFF"/>
        </w:rPr>
        <w:t xml:space="preserve"> и порядок заключения соглашений о защите и поощрении капиталовложений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со стороны администрации Сернурского муниципального района</w:t>
      </w:r>
      <w:r w:rsidRPr="001E7736">
        <w:rPr>
          <w:rFonts w:ascii="Times New Roman" w:hAnsi="Times New Roman"/>
          <w:szCs w:val="28"/>
          <w:shd w:val="clear" w:color="auto" w:fill="FFFFFF"/>
        </w:rPr>
        <w:t xml:space="preserve"> (далее – соглашение).</w:t>
      </w:r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К отношениям, возникающим в связи с заключением, изменением и расторжением соглашения, а также в связи с исполнением обязанностей по указанному </w:t>
      </w:r>
      <w:r w:rsidR="00262C90">
        <w:rPr>
          <w:rFonts w:ascii="Times New Roman" w:hAnsi="Times New Roman"/>
          <w:szCs w:val="28"/>
        </w:rPr>
        <w:t xml:space="preserve">соглашению, применяются правила </w:t>
      </w:r>
      <w:r w:rsidRPr="001E7736">
        <w:rPr>
          <w:rFonts w:ascii="Times New Roman" w:hAnsi="Times New Roman"/>
          <w:szCs w:val="28"/>
        </w:rPr>
        <w:t>г</w:t>
      </w:r>
      <w:r w:rsidR="00262C90">
        <w:rPr>
          <w:rFonts w:ascii="Times New Roman" w:hAnsi="Times New Roman"/>
          <w:szCs w:val="28"/>
        </w:rPr>
        <w:t xml:space="preserve">ражданского законодательства </w:t>
      </w:r>
      <w:r w:rsidRPr="001E7736">
        <w:rPr>
          <w:rFonts w:ascii="Times New Roman" w:hAnsi="Times New Roman"/>
          <w:szCs w:val="28"/>
        </w:rPr>
        <w:t>с учетом особенностей, установленных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3.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Меры муниципальной поддержки должны быть отражены в реестре мер муниципальной поддержки, ведение которого осуществляется в государственной информационной системе, в порядке, установленном Правительством Российской Федерации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="00795B68">
        <w:rPr>
          <w:rFonts w:ascii="Times New Roman" w:hAnsi="Times New Roman"/>
          <w:szCs w:val="28"/>
        </w:rPr>
        <w:t xml:space="preserve">Соглашение </w:t>
      </w:r>
      <w:r w:rsidRPr="001E7736">
        <w:rPr>
          <w:rFonts w:ascii="Times New Roman" w:hAnsi="Times New Roman"/>
          <w:szCs w:val="28"/>
        </w:rPr>
        <w:t>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1) </w:t>
      </w:r>
      <w:r w:rsidRPr="001E7736">
        <w:rPr>
          <w:rFonts w:ascii="Times New Roman" w:hAnsi="Times New Roman"/>
          <w:szCs w:val="28"/>
          <w:shd w:val="clear" w:color="auto" w:fill="FFFFFF"/>
        </w:rPr>
        <w:t>игорный бизнес;</w:t>
      </w:r>
    </w:p>
    <w:p w:rsid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2)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3)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оптовая и розничная торговля;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5)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B1823" w:rsidRDefault="001E7736" w:rsidP="009B1823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lastRenderedPageBreak/>
        <w:t>6)</w:t>
      </w:r>
      <w:r w:rsidR="009B1823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B1823">
        <w:rPr>
          <w:rFonts w:ascii="Times New Roman" w:hAnsi="Times New Roman"/>
          <w:szCs w:val="28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4.1.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А</w:t>
      </w:r>
      <w:r w:rsidRPr="001E7736">
        <w:rPr>
          <w:rFonts w:ascii="Times New Roman" w:hAnsi="Times New Roman"/>
          <w:szCs w:val="28"/>
        </w:rPr>
        <w:t>дминистративно-деловым центром признается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назначения. Административно-деловым центром признается также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4.2.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Торговым центром (комплексом) признается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обслуживания. Торговым центром (комплексом) признается также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</w:t>
      </w:r>
      <w:r w:rsidRPr="001E7736">
        <w:rPr>
          <w:rFonts w:ascii="Times New Roman" w:hAnsi="Times New Roman"/>
          <w:szCs w:val="28"/>
        </w:rPr>
        <w:lastRenderedPageBreak/>
        <w:t>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должно содержать следующие условия: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2) указание на этапы реализации инвестиционного проекта, в том числе: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а) срок получения разрешений и согласий, необходимых для реализации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г) срок осуществления капиталовложений в установленном объеме, не превышающий срока применения стабилизацио</w:t>
      </w:r>
      <w:r w:rsidR="00262C90">
        <w:rPr>
          <w:rFonts w:ascii="Times New Roman" w:hAnsi="Times New Roman"/>
          <w:szCs w:val="28"/>
        </w:rPr>
        <w:t xml:space="preserve">нной оговорки, предусмотренного </w:t>
      </w:r>
      <w:r w:rsidRPr="001E7736">
        <w:rPr>
          <w:rFonts w:ascii="Times New Roman" w:hAnsi="Times New Roman"/>
          <w:szCs w:val="28"/>
        </w:rPr>
        <w:t>Федеральным законом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3) сведения о предельно допустимых отклонениях от параметров реализации инвес</w:t>
      </w:r>
      <w:r w:rsidR="00262C90">
        <w:rPr>
          <w:rFonts w:ascii="Times New Roman" w:hAnsi="Times New Roman"/>
          <w:szCs w:val="28"/>
        </w:rPr>
        <w:t xml:space="preserve">тиционного проекта, указанных в </w:t>
      </w:r>
      <w:r w:rsidRPr="001E7736">
        <w:rPr>
          <w:rFonts w:ascii="Times New Roman" w:hAnsi="Times New Roman"/>
          <w:szCs w:val="28"/>
        </w:rPr>
        <w:t>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</w:t>
      </w:r>
      <w:r w:rsidR="00262C90">
        <w:rPr>
          <w:rFonts w:ascii="Times New Roman" w:hAnsi="Times New Roman"/>
          <w:szCs w:val="28"/>
        </w:rPr>
        <w:t xml:space="preserve">едусмотренных частью 4 статьи 9 </w:t>
      </w:r>
      <w:r w:rsidRPr="001E7736">
        <w:rPr>
          <w:rFonts w:ascii="Times New Roman" w:hAnsi="Times New Roman"/>
          <w:szCs w:val="28"/>
        </w:rPr>
        <w:t>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4) срок применения стабилизационной оговорки в</w:t>
      </w:r>
      <w:r w:rsidR="00262C90">
        <w:rPr>
          <w:rFonts w:ascii="Times New Roman" w:hAnsi="Times New Roman"/>
          <w:szCs w:val="28"/>
        </w:rPr>
        <w:t xml:space="preserve"> пределах сроков, установленных </w:t>
      </w:r>
      <w:r w:rsidRPr="001E7736">
        <w:rPr>
          <w:rFonts w:ascii="Times New Roman" w:hAnsi="Times New Roman"/>
          <w:szCs w:val="28"/>
        </w:rPr>
        <w:t>Федеральным законом;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proofErr w:type="gramStart"/>
      <w:r w:rsidRPr="001E7736">
        <w:rPr>
          <w:rFonts w:ascii="Times New Roman" w:hAnsi="Times New Roman"/>
          <w:szCs w:val="28"/>
        </w:rPr>
        <w:lastRenderedPageBreak/>
        <w:t>5) условия связанных договоров, в том числе сроки предоставления и объемы субсидий, бюджетных инвестиций, указанных в</w:t>
      </w:r>
      <w:r w:rsidR="00262C90">
        <w:rPr>
          <w:rFonts w:ascii="Times New Roman" w:hAnsi="Times New Roman"/>
          <w:szCs w:val="28"/>
        </w:rPr>
        <w:t xml:space="preserve"> </w:t>
      </w:r>
      <w:hyperlink r:id="rId8" w:anchor="/document/73826576/entry/1411" w:history="1">
        <w:r w:rsidRPr="00D57F5F">
          <w:rPr>
            <w:rFonts w:ascii="Times New Roman" w:hAnsi="Times New Roman"/>
            <w:szCs w:val="28"/>
          </w:rPr>
          <w:t>пункте 1 части 1 статьи 14</w:t>
        </w:r>
      </w:hyperlink>
      <w:r w:rsidRPr="001E7736">
        <w:rPr>
          <w:rFonts w:ascii="Times New Roman" w:hAnsi="Times New Roman"/>
          <w:szCs w:val="28"/>
        </w:rPr>
        <w:t xml:space="preserve"> Федерального закона № 69-ФЗ, и (или) процентная ставка (порядок ее определения) по кредитному договору, указанному в</w:t>
      </w:r>
      <w:r w:rsidR="00262C90">
        <w:rPr>
          <w:rFonts w:ascii="Times New Roman" w:hAnsi="Times New Roman"/>
          <w:szCs w:val="28"/>
        </w:rPr>
        <w:t xml:space="preserve"> </w:t>
      </w:r>
      <w:hyperlink r:id="rId9" w:anchor="/document/73826576/entry/1412" w:history="1">
        <w:r w:rsidRPr="00D57F5F">
          <w:rPr>
            <w:rFonts w:ascii="Times New Roman" w:hAnsi="Times New Roman"/>
            <w:szCs w:val="28"/>
          </w:rPr>
          <w:t>пункте 2 части 1 статьи 14</w:t>
        </w:r>
      </w:hyperlink>
      <w:r w:rsidRPr="00D57F5F"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Федерального закона № 69-ФЗ, а также сроки предоставления и объемы субсидий, указанных в</w:t>
      </w:r>
      <w:r w:rsidR="00262C90">
        <w:rPr>
          <w:rFonts w:ascii="Times New Roman" w:hAnsi="Times New Roman"/>
          <w:szCs w:val="28"/>
        </w:rPr>
        <w:t xml:space="preserve"> </w:t>
      </w:r>
      <w:hyperlink r:id="rId10" w:anchor="/document/73826576/entry/1432" w:history="1">
        <w:r w:rsidRPr="00D57F5F">
          <w:rPr>
            <w:rFonts w:ascii="Times New Roman" w:hAnsi="Times New Roman"/>
            <w:szCs w:val="28"/>
          </w:rPr>
          <w:t>пункте 2 части 3 статьи</w:t>
        </w:r>
        <w:proofErr w:type="gramEnd"/>
        <w:r w:rsidRPr="00D57F5F">
          <w:rPr>
            <w:rFonts w:ascii="Times New Roman" w:hAnsi="Times New Roman"/>
            <w:szCs w:val="28"/>
          </w:rPr>
          <w:t xml:space="preserve"> 14</w:t>
        </w:r>
      </w:hyperlink>
      <w:r w:rsidRPr="001E7736">
        <w:rPr>
          <w:rFonts w:ascii="Times New Roman" w:hAnsi="Times New Roman"/>
          <w:szCs w:val="28"/>
        </w:rPr>
        <w:t xml:space="preserve"> 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7)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9)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иные условия, предусмотренные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6.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В случае, если стороной соглашения является муниципальное образование, -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соответствующего публично-правового образования.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 xml:space="preserve"> </w:t>
      </w:r>
      <w:r w:rsidR="00F0455C">
        <w:rPr>
          <w:rFonts w:ascii="Times New Roman" w:hAnsi="Times New Roman"/>
          <w:szCs w:val="28"/>
        </w:rPr>
        <w:t>Администрация Сернурского муниципального района</w:t>
      </w:r>
      <w:r w:rsidRPr="001E7736">
        <w:rPr>
          <w:rFonts w:ascii="Times New Roman" w:hAnsi="Times New Roman"/>
          <w:szCs w:val="28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Республика Марий Эл, на территории которого (которых) реализуется соответствующий инвестиционный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8.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Публично-правовое образование,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</w:r>
      <w:r w:rsidR="00F0455C"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о защите и поощрении капиталовложений заключается не позднее 1 января 2030 года.</w:t>
      </w:r>
    </w:p>
    <w:p w:rsid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</w:t>
      </w:r>
      <w:r w:rsidR="00F0455C">
        <w:rPr>
          <w:rFonts w:ascii="Times New Roman" w:hAnsi="Times New Roman"/>
          <w:szCs w:val="28"/>
        </w:rPr>
        <w:t>0</w:t>
      </w:r>
      <w:r w:rsidRPr="001E773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заключается администрацией</w:t>
      </w:r>
      <w:r>
        <w:rPr>
          <w:rFonts w:ascii="Times New Roman" w:hAnsi="Times New Roman"/>
          <w:szCs w:val="28"/>
        </w:rPr>
        <w:t xml:space="preserve"> Сернурского муниципального района</w:t>
      </w:r>
      <w:r w:rsidRPr="001E7736">
        <w:rPr>
          <w:rFonts w:ascii="Times New Roman" w:hAnsi="Times New Roman"/>
          <w:szCs w:val="28"/>
        </w:rPr>
        <w:t xml:space="preserve"> в пределах средств, предусмотренных в бюджете </w:t>
      </w:r>
      <w:r>
        <w:rPr>
          <w:rFonts w:ascii="Times New Roman" w:hAnsi="Times New Roman"/>
          <w:szCs w:val="28"/>
        </w:rPr>
        <w:t>Сернурского муниципального района</w:t>
      </w:r>
      <w:r w:rsidRPr="001E7736">
        <w:rPr>
          <w:rFonts w:ascii="Times New Roman" w:hAnsi="Times New Roman"/>
          <w:szCs w:val="28"/>
        </w:rPr>
        <w:t xml:space="preserve">. Решение о заключении соглашения принимается в форме постановления </w:t>
      </w:r>
      <w:r w:rsidR="005A279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дминистрации Сернурского муниципального района</w:t>
      </w:r>
      <w:r w:rsidRPr="001E7736">
        <w:rPr>
          <w:rFonts w:ascii="Times New Roman" w:hAnsi="Times New Roman"/>
          <w:szCs w:val="28"/>
        </w:rPr>
        <w:t>.</w:t>
      </w:r>
      <w:r w:rsidR="00262C90">
        <w:rPr>
          <w:rFonts w:ascii="Times New Roman" w:hAnsi="Times New Roman"/>
          <w:szCs w:val="28"/>
        </w:rPr>
        <w:t xml:space="preserve"> </w:t>
      </w:r>
    </w:p>
    <w:p w:rsidR="00262C90" w:rsidRPr="001E7736" w:rsidRDefault="00262C90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</w:p>
    <w:p w:rsidR="00262C90" w:rsidRPr="00262C90" w:rsidRDefault="00601A8E" w:rsidP="00262C90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sectPr w:rsidR="00262C90" w:rsidRPr="00262C90" w:rsidSect="003E4D16">
      <w:headerReference w:type="default" r:id="rId11"/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85" w:rsidRDefault="00811485" w:rsidP="00550F92">
      <w:r>
        <w:separator/>
      </w:r>
    </w:p>
  </w:endnote>
  <w:endnote w:type="continuationSeparator" w:id="0">
    <w:p w:rsidR="00811485" w:rsidRDefault="00811485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85" w:rsidRDefault="00811485" w:rsidP="00550F92">
      <w:r>
        <w:separator/>
      </w:r>
    </w:p>
  </w:footnote>
  <w:footnote w:type="continuationSeparator" w:id="0">
    <w:p w:rsidR="00811485" w:rsidRDefault="00811485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1E7736"/>
    <w:rsid w:val="001F2A08"/>
    <w:rsid w:val="002559AA"/>
    <w:rsid w:val="00262C90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91D19"/>
    <w:rsid w:val="004B7330"/>
    <w:rsid w:val="004C20D3"/>
    <w:rsid w:val="004D05D2"/>
    <w:rsid w:val="004D64ED"/>
    <w:rsid w:val="00515119"/>
    <w:rsid w:val="00540584"/>
    <w:rsid w:val="0054693A"/>
    <w:rsid w:val="00550F92"/>
    <w:rsid w:val="00552495"/>
    <w:rsid w:val="00552CB3"/>
    <w:rsid w:val="00567816"/>
    <w:rsid w:val="005A2795"/>
    <w:rsid w:val="005A4D61"/>
    <w:rsid w:val="005B47F0"/>
    <w:rsid w:val="00601A8E"/>
    <w:rsid w:val="006077DD"/>
    <w:rsid w:val="0061609B"/>
    <w:rsid w:val="0063501D"/>
    <w:rsid w:val="00637378"/>
    <w:rsid w:val="00641626"/>
    <w:rsid w:val="006532F7"/>
    <w:rsid w:val="00655CE2"/>
    <w:rsid w:val="006625C1"/>
    <w:rsid w:val="00667F76"/>
    <w:rsid w:val="00673828"/>
    <w:rsid w:val="00693E87"/>
    <w:rsid w:val="00697997"/>
    <w:rsid w:val="006A7880"/>
    <w:rsid w:val="006C13D7"/>
    <w:rsid w:val="006D71EA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5B68"/>
    <w:rsid w:val="007D1D3C"/>
    <w:rsid w:val="007E777E"/>
    <w:rsid w:val="00811485"/>
    <w:rsid w:val="00813B09"/>
    <w:rsid w:val="0081711D"/>
    <w:rsid w:val="00837F88"/>
    <w:rsid w:val="00855A7A"/>
    <w:rsid w:val="00861F66"/>
    <w:rsid w:val="00864AA0"/>
    <w:rsid w:val="00872EBE"/>
    <w:rsid w:val="0088049F"/>
    <w:rsid w:val="00884217"/>
    <w:rsid w:val="008C003E"/>
    <w:rsid w:val="008C2273"/>
    <w:rsid w:val="008E07C4"/>
    <w:rsid w:val="008E6896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B051D7"/>
    <w:rsid w:val="00B20800"/>
    <w:rsid w:val="00B31284"/>
    <w:rsid w:val="00B4095F"/>
    <w:rsid w:val="00B54C79"/>
    <w:rsid w:val="00B575BB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666EF"/>
    <w:rsid w:val="00F73594"/>
    <w:rsid w:val="00F7764F"/>
    <w:rsid w:val="00F95F2F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заключения соглашений о защите и поощрении капиталовложений </_x041e__x043f__x0438__x0441__x0430__x043d__x0438__x0435_>
    <_x041f__x0430__x043f__x043a__x0430_ xmlns="7c11704a-b922-4939-8652-48c2d65c5b07">2021 год</_x041f__x0430__x043f__x043a__x0430_>
    <_dlc_DocId xmlns="57504d04-691e-4fc4-8f09-4f19fdbe90f6">XXJ7TYMEEKJ2-1602-822</_dlc_DocId>
    <_dlc_DocIdUrl xmlns="57504d04-691e-4fc4-8f09-4f19fdbe90f6">
      <Url>https://vip.gov.mari.ru/sernur/_layouts/DocIdRedir.aspx?ID=XXJ7TYMEEKJ2-1602-822</Url>
      <Description>XXJ7TYMEEKJ2-1602-822</Description>
    </_dlc_DocIdUrl>
  </documentManagement>
</p:properties>
</file>

<file path=customXml/itemProps1.xml><?xml version="1.0" encoding="utf-8"?>
<ds:datastoreItem xmlns:ds="http://schemas.openxmlformats.org/officeDocument/2006/customXml" ds:itemID="{5EE61A71-D67C-4D4E-8FB7-9052417A1535}"/>
</file>

<file path=customXml/itemProps2.xml><?xml version="1.0" encoding="utf-8"?>
<ds:datastoreItem xmlns:ds="http://schemas.openxmlformats.org/officeDocument/2006/customXml" ds:itemID="{690C51B8-EE01-4C68-9871-631B3044D0B2}"/>
</file>

<file path=customXml/itemProps3.xml><?xml version="1.0" encoding="utf-8"?>
<ds:datastoreItem xmlns:ds="http://schemas.openxmlformats.org/officeDocument/2006/customXml" ds:itemID="{AD2A0004-9DC4-4FC2-B5A1-2D18A036A7F4}"/>
</file>

<file path=customXml/itemProps4.xml><?xml version="1.0" encoding="utf-8"?>
<ds:datastoreItem xmlns:ds="http://schemas.openxmlformats.org/officeDocument/2006/customXml" ds:itemID="{DAE3CECD-A402-4C09-AF7B-3C380B86B169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user_01</cp:lastModifiedBy>
  <cp:revision>8</cp:revision>
  <cp:lastPrinted>2019-10-08T10:29:00Z</cp:lastPrinted>
  <dcterms:created xsi:type="dcterms:W3CDTF">2021-06-16T12:19:00Z</dcterms:created>
  <dcterms:modified xsi:type="dcterms:W3CDTF">2021-06-21T08:52:00Z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