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91" w:rsidRDefault="004E519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E5191" w:rsidRDefault="004E5191">
      <w:pPr>
        <w:pStyle w:val="ConsPlusTitle"/>
        <w:jc w:val="center"/>
      </w:pPr>
    </w:p>
    <w:p w:rsidR="004E5191" w:rsidRDefault="004E5191">
      <w:pPr>
        <w:pStyle w:val="ConsPlusTitle"/>
        <w:jc w:val="center"/>
      </w:pPr>
      <w:r>
        <w:t>ПОСТАНОВЛЕНИЕ</w:t>
      </w:r>
    </w:p>
    <w:p w:rsidR="004E5191" w:rsidRDefault="004E5191">
      <w:pPr>
        <w:pStyle w:val="ConsPlusTitle"/>
        <w:jc w:val="center"/>
      </w:pPr>
      <w:r>
        <w:t>от 23 июля 2013 г. N 623</w:t>
      </w:r>
    </w:p>
    <w:p w:rsidR="004E5191" w:rsidRDefault="004E5191">
      <w:pPr>
        <w:pStyle w:val="ConsPlusTitle"/>
        <w:jc w:val="center"/>
      </w:pPr>
    </w:p>
    <w:p w:rsidR="004E5191" w:rsidRDefault="004E5191">
      <w:pPr>
        <w:pStyle w:val="ConsPlusTitle"/>
        <w:jc w:val="center"/>
      </w:pPr>
      <w:r>
        <w:t>ОБ УТВЕРЖДЕНИИ ПОЛОЖЕНИЯ</w:t>
      </w:r>
    </w:p>
    <w:p w:rsidR="004E5191" w:rsidRDefault="004E5191">
      <w:pPr>
        <w:pStyle w:val="ConsPlusTitle"/>
        <w:jc w:val="center"/>
      </w:pPr>
      <w:r>
        <w:t>О ПРЕДОСТАВЛЕНИИ ИНФОРМАЦИИ О ЗАКЛЮЧЕННЫХ СТОРОНАМИ</w:t>
      </w:r>
    </w:p>
    <w:p w:rsidR="004E5191" w:rsidRDefault="004E5191">
      <w:pPr>
        <w:pStyle w:val="ConsPlusTitle"/>
        <w:jc w:val="center"/>
      </w:pPr>
      <w:r>
        <w:t>НЕ НА ОРГАНИЗОВАННЫХ ТОРГАХ ДОГОВОРАХ, ОБЯЗАТЕЛЬСТВА</w:t>
      </w:r>
    </w:p>
    <w:p w:rsidR="004E5191" w:rsidRDefault="004E5191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ПРЕДУСМАТРИВАЮТ ПЕРЕХОД ПРАВА СОБСТВЕННОСТИ</w:t>
      </w:r>
    </w:p>
    <w:p w:rsidR="004E5191" w:rsidRDefault="004E5191">
      <w:pPr>
        <w:pStyle w:val="ConsPlusTitle"/>
        <w:jc w:val="center"/>
      </w:pPr>
      <w:r>
        <w:t>НА ТОВАР, ДОПУЩЕННЫЙ К ОРГАНИЗОВАННЫМ ТОРГАМ,</w:t>
      </w:r>
    </w:p>
    <w:p w:rsidR="004E5191" w:rsidRDefault="004E5191">
      <w:pPr>
        <w:pStyle w:val="ConsPlusTitle"/>
        <w:jc w:val="center"/>
      </w:pPr>
      <w:r>
        <w:t>А ТАКЖЕ О ВЕДЕНИИ РЕЕСТРА ТАКИХ ДОГОВОРОВ</w:t>
      </w:r>
    </w:p>
    <w:p w:rsidR="004E5191" w:rsidRDefault="004E5191">
      <w:pPr>
        <w:pStyle w:val="ConsPlusTitle"/>
        <w:jc w:val="center"/>
      </w:pPr>
      <w:r>
        <w:t xml:space="preserve">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4E5191" w:rsidRDefault="004E5191">
      <w:pPr>
        <w:pStyle w:val="ConsPlusTitle"/>
        <w:jc w:val="center"/>
      </w:pPr>
      <w:r>
        <w:t>ИЗ УКАЗАННОГО РЕЕСТРА</w:t>
      </w:r>
    </w:p>
    <w:p w:rsidR="004E5191" w:rsidRDefault="004E5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"Об организованных торгах" Правительство Российской Федерации постановляет: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68" w:history="1">
        <w:r>
          <w:rPr>
            <w:color w:val="0000FF"/>
          </w:rPr>
          <w:t>пункт 4</w:t>
        </w:r>
      </w:hyperlink>
      <w:r>
        <w:t xml:space="preserve"> и </w:t>
      </w:r>
      <w:hyperlink w:anchor="P125" w:history="1">
        <w:r>
          <w:rPr>
            <w:color w:val="0000FF"/>
          </w:rPr>
          <w:t>абзац первый пункта 16</w:t>
        </w:r>
      </w:hyperlink>
      <w:r>
        <w:t xml:space="preserve"> Положения, утвержденного настоящим постановлением, вступают в силу с 1 сентября 2013 г.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До 1 сентября 2013 г.:</w:t>
      </w:r>
    </w:p>
    <w:p w:rsidR="004E5191" w:rsidRDefault="004E5191">
      <w:pPr>
        <w:pStyle w:val="ConsPlusNormal"/>
        <w:spacing w:before="220"/>
        <w:ind w:firstLine="540"/>
        <w:jc w:val="both"/>
      </w:pPr>
      <w:proofErr w:type="gramStart"/>
      <w:r>
        <w:t xml:space="preserve">биржа уведомляет о дате начала приема сведений,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Положения, утвержденного настоящим постановлением,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федеральный орган исполнительной власти в области финансовых рынков по форме и в порядке, которые установлены указанным федеральным органом исполнительной власти;</w:t>
      </w:r>
      <w:proofErr w:type="gramEnd"/>
    </w:p>
    <w:p w:rsidR="004E5191" w:rsidRDefault="004E5191">
      <w:pPr>
        <w:pStyle w:val="ConsPlusNormal"/>
        <w:spacing w:before="220"/>
        <w:ind w:firstLine="540"/>
        <w:jc w:val="both"/>
      </w:pPr>
      <w:proofErr w:type="gramStart"/>
      <w:r>
        <w:t xml:space="preserve">биржа отказывает во внесении сведений о заключенном сторонами не на организованных торгах договоре, обязательства по которому предусматривают переход права собственности на товар, допущенный к организованным торгам, в реестр указанных договоров и направляет в федеральный орган исполнительной власти в области финансовых рынков сведения о лице, заключившем такой договор и представившем в неполном объеме 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Положения, утвержденного настоящим постановлением</w:t>
      </w:r>
      <w:proofErr w:type="gramEnd"/>
      <w:r>
        <w:t>, по форме и в порядке, которые установлены указанным федеральным органом исполнительной власти.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E5191" w:rsidRDefault="004E519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2011 г. N 65 "Об утверждении Положения о регистрации товарной биржей внебиржевых сделок с биржевым товаром, в том числе долгосрочных договоров поставки, а также о ведении реестра указанных сделок и предоставлении информации из реестра" (Собрание законодательства Российской Федерации, 2011, N 8, ст. 1111);</w:t>
      </w:r>
    </w:p>
    <w:p w:rsidR="004E5191" w:rsidRDefault="004E519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февраля 2011 г. N 167-р (Собрание законодательства Российской Федерации, 2011, N 8, ст. 1143);</w:t>
      </w:r>
    </w:p>
    <w:p w:rsidR="004E5191" w:rsidRDefault="004E519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июля 2012 г. N 1309-р (Собрание </w:t>
      </w:r>
      <w:r>
        <w:lastRenderedPageBreak/>
        <w:t>законодательства Российской Федерации, 2012, N 31, ст. 4433).</w:t>
      </w:r>
    </w:p>
    <w:p w:rsidR="004E5191" w:rsidRDefault="004E5191">
      <w:pPr>
        <w:pStyle w:val="ConsPlusNormal"/>
        <w:jc w:val="right"/>
      </w:pPr>
    </w:p>
    <w:p w:rsidR="004E5191" w:rsidRDefault="004E5191">
      <w:pPr>
        <w:pStyle w:val="ConsPlusNormal"/>
        <w:jc w:val="right"/>
      </w:pPr>
      <w:r>
        <w:t>Председатель Правительства</w:t>
      </w:r>
    </w:p>
    <w:p w:rsidR="004E5191" w:rsidRDefault="004E5191">
      <w:pPr>
        <w:pStyle w:val="ConsPlusNormal"/>
        <w:jc w:val="right"/>
      </w:pPr>
      <w:r>
        <w:t>Российской Федерации</w:t>
      </w:r>
    </w:p>
    <w:p w:rsidR="004E5191" w:rsidRDefault="004E5191">
      <w:pPr>
        <w:pStyle w:val="ConsPlusNormal"/>
        <w:jc w:val="right"/>
      </w:pPr>
      <w:r>
        <w:t>Д.МЕДВЕДЕВ</w:t>
      </w:r>
    </w:p>
    <w:p w:rsidR="004E5191" w:rsidRDefault="004E5191">
      <w:pPr>
        <w:pStyle w:val="ConsPlusNormal"/>
        <w:jc w:val="right"/>
      </w:pPr>
    </w:p>
    <w:p w:rsidR="004E5191" w:rsidRDefault="004E5191">
      <w:pPr>
        <w:pStyle w:val="ConsPlusNormal"/>
        <w:jc w:val="right"/>
      </w:pPr>
    </w:p>
    <w:p w:rsidR="004E5191" w:rsidRDefault="004E5191">
      <w:pPr>
        <w:pStyle w:val="ConsPlusNormal"/>
        <w:jc w:val="right"/>
      </w:pPr>
    </w:p>
    <w:p w:rsidR="004E5191" w:rsidRDefault="004E5191">
      <w:pPr>
        <w:pStyle w:val="ConsPlusNormal"/>
        <w:jc w:val="right"/>
      </w:pPr>
    </w:p>
    <w:p w:rsidR="004E5191" w:rsidRDefault="004E5191">
      <w:pPr>
        <w:pStyle w:val="ConsPlusNormal"/>
        <w:jc w:val="right"/>
      </w:pPr>
    </w:p>
    <w:p w:rsidR="004E5191" w:rsidRDefault="004E5191">
      <w:pPr>
        <w:pStyle w:val="ConsPlusNormal"/>
        <w:jc w:val="right"/>
        <w:outlineLvl w:val="0"/>
      </w:pPr>
      <w:r>
        <w:t>Утверждено</w:t>
      </w:r>
    </w:p>
    <w:p w:rsidR="004E5191" w:rsidRDefault="004E5191">
      <w:pPr>
        <w:pStyle w:val="ConsPlusNormal"/>
        <w:jc w:val="right"/>
      </w:pPr>
      <w:r>
        <w:t>постановлением Правительства</w:t>
      </w:r>
    </w:p>
    <w:p w:rsidR="004E5191" w:rsidRDefault="004E5191">
      <w:pPr>
        <w:pStyle w:val="ConsPlusNormal"/>
        <w:jc w:val="right"/>
      </w:pPr>
      <w:r>
        <w:t>Российской Федерации</w:t>
      </w:r>
    </w:p>
    <w:p w:rsidR="004E5191" w:rsidRDefault="004E5191">
      <w:pPr>
        <w:pStyle w:val="ConsPlusNormal"/>
        <w:jc w:val="right"/>
      </w:pPr>
      <w:r>
        <w:t>от 23 июля 2013 г. N 623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Title"/>
        <w:jc w:val="center"/>
      </w:pPr>
      <w:bookmarkStart w:id="1" w:name="P41"/>
      <w:bookmarkEnd w:id="1"/>
      <w:r>
        <w:t>ПОЛОЖЕНИЕ</w:t>
      </w:r>
    </w:p>
    <w:p w:rsidR="004E5191" w:rsidRDefault="004E5191">
      <w:pPr>
        <w:pStyle w:val="ConsPlusTitle"/>
        <w:jc w:val="center"/>
      </w:pPr>
      <w:r>
        <w:t>О ПРЕДОСТАВЛЕНИИ ИНФОРМАЦИИ О ЗАКЛЮЧЕННЫХ СТОРОНАМИ</w:t>
      </w:r>
    </w:p>
    <w:p w:rsidR="004E5191" w:rsidRDefault="004E5191">
      <w:pPr>
        <w:pStyle w:val="ConsPlusTitle"/>
        <w:jc w:val="center"/>
      </w:pPr>
      <w:r>
        <w:t>НЕ НА ОРГАНИЗОВАННЫХ ТОРГАХ ДОГОВОРАХ, ОБЯЗАТЕЛЬСТВА</w:t>
      </w:r>
    </w:p>
    <w:p w:rsidR="004E5191" w:rsidRDefault="004E5191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ПРЕДУСМАТРИВАЮТ ПЕРЕХОД ПРАВА СОБСТВЕННОСТИ</w:t>
      </w:r>
    </w:p>
    <w:p w:rsidR="004E5191" w:rsidRDefault="004E5191">
      <w:pPr>
        <w:pStyle w:val="ConsPlusTitle"/>
        <w:jc w:val="center"/>
      </w:pPr>
      <w:r>
        <w:t>НА ТОВАР, ДОПУЩЕННЫЙ К ОРГАНИЗОВАННЫМ ТОРГАМ,</w:t>
      </w:r>
    </w:p>
    <w:p w:rsidR="004E5191" w:rsidRDefault="004E5191">
      <w:pPr>
        <w:pStyle w:val="ConsPlusTitle"/>
        <w:jc w:val="center"/>
      </w:pPr>
      <w:r>
        <w:t>А ТАКЖЕ О ВЕДЕНИИ РЕЕСТРА ТАКИХ ДОГОВОРОВ</w:t>
      </w:r>
    </w:p>
    <w:p w:rsidR="004E5191" w:rsidRDefault="004E5191">
      <w:pPr>
        <w:pStyle w:val="ConsPlusTitle"/>
        <w:jc w:val="center"/>
      </w:pPr>
      <w:r>
        <w:t xml:space="preserve">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4E5191" w:rsidRDefault="004E5191">
      <w:pPr>
        <w:pStyle w:val="ConsPlusTitle"/>
        <w:jc w:val="center"/>
      </w:pPr>
      <w:r>
        <w:t>ИЗ УКАЗАННОГО РЕЕСТРА</w:t>
      </w:r>
    </w:p>
    <w:p w:rsidR="004E5191" w:rsidRDefault="004E5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center"/>
        <w:outlineLvl w:val="1"/>
      </w:pPr>
      <w:r>
        <w:t>I. Общие положения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случаи, порядок, объем и сроки, в соответствии с которыми стороны должны предоставлять информацию о заключенном ими не на организованных торгах договоре, обязательства по которому предусматривают переход права собственности на товар, допущенный к организованным торгам (далее - внебиржевой договор), порядок ведения биржей, осуществляющей проведение организованных торгов, на которых заключаются договоры купли-продажи товара (далее - биржа), реестра внебиржевых договоров (далее - реестр</w:t>
      </w:r>
      <w:proofErr w:type="gramEnd"/>
      <w:r>
        <w:t>), а также порядок и периодичность предоставления информации из реестра.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Биржам, соответствующим требованиям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организованных торгах, предоставляется информация о внебиржевых договорах в отношении следующего товара: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3" w:name="P56"/>
      <w:bookmarkEnd w:id="3"/>
      <w:proofErr w:type="gramStart"/>
      <w:r>
        <w:t xml:space="preserve">а) нефтепродукты, предусмотренные техническим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утвержденным постановлением Правительства Российской Федерации от 27 февраля 2008 г. N 118, при условии, что суммарный объем производства группой лиц хозяйствующего субъекта, осуществляющего реализацию нефтепродуктов, свыше 100 тыс. тонн за предшествующий год и объем сделки составляет не</w:t>
      </w:r>
      <w:proofErr w:type="gramEnd"/>
      <w:r>
        <w:t xml:space="preserve"> менее 60 тонн;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б) нефть сырая, при объеме добычи и (или) производства группой лиц производителя за предшествующий год свыше 1 млн. тонн, при условии, что объем сделки составляет не менее 1 тыс. тонн;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в) угли коксующиеся, каменные, бурые и антрацит при объеме добычи группой лиц производителя за предшествующий год свыше 1 млн. тонн, при условии, что объем сделки составляет не менее 60 тонн;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lastRenderedPageBreak/>
        <w:t>г) пшеница 3-го и 4-го класса при объеме реализации группой лиц производителя за предшествующий год свыше 10 тыс. тонн и объеме сделки более 60 тонн;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д) газ природный, реализованный на внутреннем рынке Российской Федерации по нерегулируемым государством ценам при объеме добычи и (или) производства группой лиц производителя свыше 1 млрд. куб. метров за предшествующий год, при условии, что объем сделки составляет не менее 10 млн. куб. метров;</w:t>
      </w:r>
    </w:p>
    <w:p w:rsidR="004E5191" w:rsidRDefault="004E51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е) сжиженный углеводородный газ при объеме реализации группой лиц производителя за предшествующий год свыше 100 тыс. тонн и при условии, что объем сделки составляет не менее 30 тонн.</w:t>
      </w:r>
    </w:p>
    <w:p w:rsidR="004E5191" w:rsidRDefault="004E51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3. Информация о внебиржевых договорах в отношении товара, предусмотренного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настоящего Положения, предоставляется биржам, осуществляющим проведение организованных торгов соответствующим товаром.</w:t>
      </w:r>
    </w:p>
    <w:p w:rsidR="004E5191" w:rsidRDefault="004E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4. Биржа уведомляет определенный законодательством Российской Федерации </w:t>
      </w:r>
      <w:hyperlink r:id="rId18" w:history="1">
        <w:r>
          <w:rPr>
            <w:color w:val="0000FF"/>
          </w:rPr>
          <w:t>орган</w:t>
        </w:r>
      </w:hyperlink>
      <w:r>
        <w:t xml:space="preserve">, осуществляющий регулирование и надзор за осуществлением деятельности по проведению организованных торгов, о дате начала приема сведений о внебиржевых договорах,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по форме и в порядке, которые установлены законодательством Российской Федерации.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5. Перечень бирж, на которые должна предоставляться информация о внебиржевых договорах, публикуется в информационно-телекоммуникационной сети "Интернет" по форме и в порядке, которые установлены законодательством Российской Федерации.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6. Предоставлению на биржу подлежит информация о внебиржевых договорах в отношении товаров, предусмотренных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настоящего Положения, заключенных производителями этих товаров, лицами, входящими в группу лиц с производителями, или лицами, действующими в интересах и за счет указанных лиц. Информация о внебиржевых договорах включает сведения, предусмотренные </w:t>
      </w:r>
      <w:hyperlink w:anchor="P83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28" w:history="1">
        <w:r>
          <w:rPr>
            <w:color w:val="0000FF"/>
          </w:rPr>
          <w:t>17</w:t>
        </w:r>
      </w:hyperlink>
      <w:r>
        <w:t xml:space="preserve"> настоящего Положения, а также сведения о дополнительных соглашениях и изменениях, внесенных во внебиржевые договоры, определяющих (изменяющих) 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4E5191" w:rsidRDefault="004E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7. Предоставление информации о внебиржевом договоре более чем на одну биржу не допускается.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8. Обязанность своевременного предоставления полной и достоверной информации о внебиржевом договоре возлагается на лицо, осуществившее отчуждение биржевого товара на внебиржевом рынке (далее - лицо, заключившее внебиржевой договор).</w:t>
      </w:r>
    </w:p>
    <w:p w:rsidR="004E5191" w:rsidRDefault="004E51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9. На основании предоставляемой информации о внебиржевом договоре биржи ведут реестр в порядке, предусмотренном настоящим Положением.</w:t>
      </w:r>
    </w:p>
    <w:p w:rsidR="004E5191" w:rsidRDefault="004E5191">
      <w:pPr>
        <w:pStyle w:val="ConsPlusNormal"/>
        <w:spacing w:before="220"/>
        <w:ind w:firstLine="540"/>
        <w:jc w:val="both"/>
      </w:pPr>
      <w:proofErr w:type="gramStart"/>
      <w:r>
        <w:t>Сведения, содержащиеся в реестре, передаются биржей федеральному органу исполнительной власти, осуществляющему государственное регулирование той сферы деятельности, к которой относится производство соответствующего товара, на основании письменного запроса (далее - запрос) в объеме, указанном в запросе, в срок не позднее 3 рабочих дней с момента получения запроса, за исключением случаев, когда иной срок установлен законодательством Российской Федерации.</w:t>
      </w:r>
      <w:proofErr w:type="gramEnd"/>
      <w:r>
        <w:t xml:space="preserve"> Запрос должен быть подписан уполномоченным должностным лицом.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jc w:val="center"/>
        <w:outlineLvl w:val="1"/>
      </w:pPr>
      <w:r>
        <w:lastRenderedPageBreak/>
        <w:t>II. Порядок ведения реестра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  <w:r>
        <w:t>10. Реестр ведется биржей в электронном виде и содержит информацию о внебиржевом договоре.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11. В реестре каждому внебиржевому договору биржей присваивается уникальный код.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12. Реестр составляется таким образом, чтобы на основании его данных можно было составить списки внебиржевых договоров и делать выписки из него на любую дату, за любой период времени, по любому биржевому товару, а также идентифицировать лицо, заключившее внебиржевой договор.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8" w:name="P83"/>
      <w:bookmarkEnd w:id="8"/>
      <w:r>
        <w:t>13. Для внесения внебиржевого договора в реестр лицо, заключившее внебиржевой договор, предоставляет бирже следующие сведения: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9" w:name="P84"/>
      <w:bookmarkEnd w:id="9"/>
      <w:r>
        <w:t>а) наименование и идентификационный номер налогоплательщика лица, заключившего внебиржевой договор, а для иностранного лица, не имеющего идентификационного номера налогоплательщика, - наименование;</w:t>
      </w:r>
    </w:p>
    <w:p w:rsidR="004E5191" w:rsidRDefault="004E51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б) наименование и идентификационный номер налогоплательщика производителя товара, а для иностранного производителя товара, не имеющего идентификационного номера налогоплательщика, - наименование;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в) наименование и идентификационный номер налогоплательщика лица, являющегося приобретателем товара, а для иностранного лица, не имеющего идентификационного номера налогоплательщика, - наименование;</w:t>
      </w:r>
    </w:p>
    <w:p w:rsidR="004E5191" w:rsidRDefault="004E51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28.07.2015 N 764;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д) наименование товара, являющегося предметом внебиржевого договора;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е) количество товара, подлежащего отчуждению (поставке) по внебиржевому договору (в установленных биржей единицах измерения);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ж) цена товара (в рублях за единицу, включая налоги и сборы), указанная во внебиржевом договоре (дополнительном соглашении), приведенная к базису поставки (при необходимости конвертируется в рубли по курсу, установленному Центральным банком Российской Федерации на дату определения цены товара), а также дата определения цены товара;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з) базис поставки (место, в котором обязанность поставщика по поставке товара признается исполненной в соответствии с внебиржевым договором (дополнительным соглашением);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и) место производства товара;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к) место отгрузки товара, в том числе с учетом сведений согласно </w:t>
      </w:r>
      <w:hyperlink w:anchor="P165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33" w:history="1">
        <w:r>
          <w:rPr>
            <w:color w:val="0000FF"/>
          </w:rPr>
          <w:t>3</w:t>
        </w:r>
      </w:hyperlink>
      <w:r>
        <w:t xml:space="preserve"> (если такие сведения применимы);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>л) сведения, содержащие информацию о стоимости транспортировки товара от места отгрузки до места, в котором обязанность поставщика признается исполненной в соответствии с внебиржевым договором (дополнительным соглашением), в рублях за единицу (при необходимости конвертируется в рубли по курсу, установленному Центральным банком Российской Федерации на дату определения цены товара);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lastRenderedPageBreak/>
        <w:t xml:space="preserve">м) дата заключения внебиржевого договора  и его номер, а также дата заключения дополнительного соглашения и его номер, если такое дополнительное соглашение содержит какое-либо из сведений,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"м"</w:t>
        </w:r>
      </w:hyperlink>
      <w:r>
        <w:t xml:space="preserve"> - </w:t>
      </w:r>
      <w:hyperlink w:anchor="P113" w:history="1">
        <w:r>
          <w:rPr>
            <w:color w:val="0000FF"/>
          </w:rPr>
          <w:t>"т"</w:t>
        </w:r>
      </w:hyperlink>
      <w:r>
        <w:t xml:space="preserve"> настоящего пункта;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н) способ поставки товара с места отгрузки (посредством железнодорожного, автомобильного, водного, трубопроводного транспорта, посредством воздушных перевозок);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о) срок исполнения (поставки) по внебиржевому договору (дополнительному соглашению);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п) сведения о стране назначения товара в случае, если поставка товара осуществляется за пределы территории Российской Федерации;</w:t>
      </w:r>
    </w:p>
    <w:p w:rsidR="004E5191" w:rsidRDefault="004E51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р) сведения о наличии либо об отсутствии основания (оснований), в силу которого производитель и приобретатель товара признаются взаимозависимыми лицами;</w:t>
      </w:r>
    </w:p>
    <w:p w:rsidR="004E5191" w:rsidRDefault="004E51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с) сведения о наличии либо об отсутствии основания (оснований), в силу которого производитель и приобретатель товара признаются аффилированными лицами;</w:t>
      </w:r>
    </w:p>
    <w:p w:rsidR="004E5191" w:rsidRDefault="004E51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т) сведения, предусмотренные </w:t>
      </w:r>
      <w:hyperlink w:anchor="P16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33" w:history="1">
        <w:r>
          <w:rPr>
            <w:color w:val="0000FF"/>
          </w:rPr>
          <w:t>3</w:t>
        </w:r>
      </w:hyperlink>
      <w:r>
        <w:t xml:space="preserve"> к настоящему Положению (если такие сведения применимы).</w:t>
      </w:r>
    </w:p>
    <w:p w:rsidR="004E5191" w:rsidRDefault="004E51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13(1). Лицо, заключившее внебиржевой договор в отношении товара, указанного в </w:t>
      </w:r>
      <w:hyperlink w:anchor="P56" w:history="1">
        <w:r>
          <w:rPr>
            <w:color w:val="0000FF"/>
          </w:rPr>
          <w:t>подпункте "а" пункта 2</w:t>
        </w:r>
      </w:hyperlink>
      <w:r>
        <w:t xml:space="preserve"> настоящего Положения, кроме сведений,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предоставляет сведения, предусмотренные </w:t>
      </w:r>
      <w:hyperlink w:anchor="P165" w:history="1">
        <w:r>
          <w:rPr>
            <w:color w:val="0000FF"/>
          </w:rPr>
          <w:t>приложением N 1</w:t>
        </w:r>
      </w:hyperlink>
      <w:r>
        <w:t xml:space="preserve"> к настоящему Положению.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Лицо, заключившее внебиржевой договор в отношении товара, указанного в </w:t>
      </w:r>
      <w:hyperlink w:anchor="P59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кроме сведений,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предоставляет сведения, предусмотренные </w:t>
      </w:r>
      <w:hyperlink w:anchor="P198" w:history="1">
        <w:r>
          <w:rPr>
            <w:color w:val="0000FF"/>
          </w:rPr>
          <w:t>приложением N 2</w:t>
        </w:r>
      </w:hyperlink>
      <w:r>
        <w:t xml:space="preserve"> к настоящему Положению.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Лицо, заключившее внебиржевой договор в отношении товара, указанного в </w:t>
      </w:r>
      <w:hyperlink w:anchor="P64" w:history="1">
        <w:r>
          <w:rPr>
            <w:color w:val="0000FF"/>
          </w:rPr>
          <w:t>подпункте "е" пункта 2</w:t>
        </w:r>
      </w:hyperlink>
      <w:r>
        <w:t xml:space="preserve"> настоящего Положения, кроме сведений,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предоставляет сведения, предусмотренные </w:t>
      </w:r>
      <w:hyperlink w:anchor="P233" w:history="1">
        <w:r>
          <w:rPr>
            <w:color w:val="0000FF"/>
          </w:rPr>
          <w:t>приложением N 3</w:t>
        </w:r>
      </w:hyperlink>
      <w:r>
        <w:t xml:space="preserve"> к настоящему Положению.</w:t>
      </w:r>
    </w:p>
    <w:p w:rsidR="004E5191" w:rsidRDefault="004E51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предоставляются лицом, заключившим внебиржевой договор, бирже в электронном виде по форме и в соответствии с требованиями, которые установлены внутренними документами биржи, по каждому внебиржевому договору в срок не позднее 3 рабочих дней со дня определения сторонами внебиржевого договора всех сведений,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"м"</w:t>
        </w:r>
      </w:hyperlink>
      <w:r>
        <w:t xml:space="preserve"> - </w:t>
      </w:r>
      <w:hyperlink w:anchor="P113" w:history="1">
        <w:r>
          <w:rPr>
            <w:color w:val="0000FF"/>
          </w:rPr>
          <w:t>"т" пункта 13</w:t>
        </w:r>
      </w:hyperlink>
      <w:r>
        <w:t xml:space="preserve"> настоящего Положения, а в случае</w:t>
      </w:r>
      <w:proofErr w:type="gramEnd"/>
      <w:r>
        <w:t xml:space="preserve"> внесения изменений во внебиржевой договор (дополнительное соглашение) - со дня изменения соответствующих сведений.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100" w:history="1">
        <w:r>
          <w:rPr>
            <w:color w:val="0000FF"/>
          </w:rPr>
          <w:t>подпунктом "л" пункта 13</w:t>
        </w:r>
      </w:hyperlink>
      <w:r>
        <w:t xml:space="preserve"> настоящего Положения, предоставляются бирже лицом, заключившим внебиржевой договор, в электронном виде по форме и в соответствии с требованиями, которые установлены внутренними документами биржи, по каждому внебиржевому договору не позднее 3 рабочих дней со дня их определения сторонами внебиржевого договора.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lastRenderedPageBreak/>
        <w:t xml:space="preserve">15. Внесение внебиржевого договора в реестр осуществляется биржей в течение 1 рабочего дня со дня получения в полном объеме сведений,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"м"</w:t>
        </w:r>
      </w:hyperlink>
      <w:r>
        <w:t xml:space="preserve"> - </w:t>
      </w:r>
      <w:hyperlink w:anchor="P113" w:history="1">
        <w:r>
          <w:rPr>
            <w:color w:val="0000FF"/>
          </w:rPr>
          <w:t>"т" пункта 13</w:t>
        </w:r>
      </w:hyperlink>
      <w:r>
        <w:t xml:space="preserve"> настоящего Положения. </w:t>
      </w:r>
      <w:proofErr w:type="gramStart"/>
      <w:r>
        <w:t>Подтверждением внесения внебиржевого договора в реестр является электронное уведомление, содержащее присвоенный внебиржевому договору уникальный код, составленное по форме, установленной внутренними документами биржи, и направленное биржей лицу, заключившему внебиржевой договор, в течение 1 рабочего дня со дня внесения внебиржевого договора в реестр по электронной почте и (или) по факсимильной связи.</w:t>
      </w:r>
      <w:proofErr w:type="gramEnd"/>
    </w:p>
    <w:p w:rsidR="004E5191" w:rsidRDefault="004E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16. Биржа отказывает во внесении сведений о внебиржевом договоре в реестр в случае, если лицо, заключившее внебиржевой договор, предоставило не в полном объеме сведения, предусмотренные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"м"</w:t>
        </w:r>
      </w:hyperlink>
      <w:r>
        <w:t xml:space="preserve"> - </w:t>
      </w:r>
      <w:hyperlink w:anchor="P113" w:history="1">
        <w:r>
          <w:rPr>
            <w:color w:val="0000FF"/>
          </w:rPr>
          <w:t>"т" пункта 13</w:t>
        </w:r>
      </w:hyperlink>
      <w:r>
        <w:t xml:space="preserve"> настоящего Положения. В указанном случае биржа направляет лицу, заключившему внебиржевой договор, электронное уведомление с указанием причин отказа в течение 1 рабочего дня со дня отказа внесения указанных сведений в реестр. </w:t>
      </w:r>
      <w:proofErr w:type="gramStart"/>
      <w:r>
        <w:t xml:space="preserve">Сведения о лице, заключившем внебиржевой договор, направляются биржей в определенный законодательством Российской Федерации </w:t>
      </w:r>
      <w:hyperlink r:id="rId39" w:history="1">
        <w:r>
          <w:rPr>
            <w:color w:val="0000FF"/>
          </w:rPr>
          <w:t>орган</w:t>
        </w:r>
      </w:hyperlink>
      <w:r>
        <w:t>, осуществляющий регулирование и надзор за осуществлением деятельности по проведению организованных торгов, по форме и в порядке, которые установлены законодательством Российской Федерации.</w:t>
      </w:r>
      <w:proofErr w:type="gramEnd"/>
    </w:p>
    <w:p w:rsidR="004E5191" w:rsidRDefault="004E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Лицо, заключившее внебиржевой договор, в течение 3 рабочих дней со дня получения электронного уведомления об отказе во внесении биржей сведений в реестр устраняет указанные в электронном уведомлении нарушения и предоставляет бирже сведения, необходимые для внесения внебиржевого договора в реестр, в соответствии с настоящим Положением.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>17. При расторжении внебиржевого договора лицо, заключившее внебиржевой договор, в течение 1 рабочего дня со дня его расторжения направляет бирже уведомление по форме и в соответствии с требованиями, которые установлены внутренними документами биржи, с указанием уникального кода внебиржевого договора.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18. На основании представленных сведений, предусмотренных </w:t>
      </w:r>
      <w:hyperlink w:anchor="P100" w:history="1">
        <w:r>
          <w:rPr>
            <w:color w:val="0000FF"/>
          </w:rPr>
          <w:t>подпунктом "л" пункта 13</w:t>
        </w:r>
      </w:hyperlink>
      <w:r>
        <w:t xml:space="preserve"> настоящего Положения, сведений об изменениях внебиржевого договора,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сведений, предусмотренных </w:t>
      </w:r>
      <w:hyperlink w:anchor="P128" w:history="1">
        <w:r>
          <w:rPr>
            <w:color w:val="0000FF"/>
          </w:rPr>
          <w:t>пунктом 17</w:t>
        </w:r>
      </w:hyperlink>
      <w:r>
        <w:t xml:space="preserve"> настоящего Положения, в реестр вносятся биржей соответствующие изменения в течение 1 рабочего дня со дня их получения.</w:t>
      </w:r>
    </w:p>
    <w:p w:rsidR="004E5191" w:rsidRDefault="004E519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Подтверждением внесения в реестр указанных сведений является электронное уведомление, содержащее присвоенный внебиржевому договору уникальный код, составленное по форме, установленной внутренними документами биржи, и направленное биржей лицу, заключившему внебиржевой договор, в течение 1 рабочего дня со дня внесения соответствующих изменений в реестр по электронной почте и (или) по факсимильной связи.</w:t>
      </w:r>
    </w:p>
    <w:p w:rsidR="004E5191" w:rsidRDefault="004E519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jc w:val="center"/>
        <w:outlineLvl w:val="1"/>
      </w:pPr>
      <w:r>
        <w:t>III. Порядок предоставления информации из реестра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  <w:r>
        <w:t>19. Биржа в соответствии с законодательством Российской Федерации обеспечивает сохранность информации, предоставляемой лицом, заключившим внебиржевой договор, для внесения внебиржевого договора в реестр. Биржа не вправе передавать полученную информацию третьим лицам, за исключением случаев, установленных законодательством Российской Федерации.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 xml:space="preserve">20. </w:t>
      </w:r>
      <w:proofErr w:type="gramStart"/>
      <w:r>
        <w:t>Биржа предоставляет информацию из реестра федеральным органам исполнительной власти, не осуществляющим государственное регулирование той сферы деятельности, к которой относится производство соответствующего товара, на основании мотивированного письменного запроса (далее - мотивированный запрос) в объеме, указанном в мотивированном запросе, в срок не позднее 5 рабочих дней с момента получения мотивированного запроса, за исключением случаев, когда иной срок установлен законодательством Российской Федерации.</w:t>
      </w:r>
      <w:proofErr w:type="gramEnd"/>
      <w:r>
        <w:t xml:space="preserve"> Мотивированный </w:t>
      </w:r>
      <w:r>
        <w:lastRenderedPageBreak/>
        <w:t>запрос подписывается уполномоченным должностным лицом и содержит указание цели и основания требования предоставления следующей информации: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а) 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б) статистические данные о сделках по определенному виду товара, подлежащего отчуждению в соответствии с внебиржевыми договорами, за определенный период времени, к числу которых могут относиться сведения: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о количестве (в установленных биржей единицах измерения) и стоимости товара (в рублях) по каждой сделке;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о количестве (в установленных биржей единицах измерения) и стоимости товара (в рублях), максимальном и минимальном значении этих показателей, а также о количестве сделок, заключенных в течение 1 рабочего дня;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об объемах (в установленных биржей единицах измерения) и средневзвешенной стоимости товара (в рублях).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7" w:name="P143"/>
      <w:bookmarkEnd w:id="17"/>
      <w:r>
        <w:t xml:space="preserve">21. Биржа предоставляет лицам, заключившим внебиржевые договоры, выписки из реестра о заключенных указанными лицами внебиржевых договорах на основании их письменных запросов в объеме, предусмотренном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за плату, не превышающую затрат на изготовление выписок, в сроки, не превышающие 3 рабочих дней со дня получения биржей указанных запросов.</w:t>
      </w:r>
    </w:p>
    <w:p w:rsidR="004E5191" w:rsidRDefault="004E5191">
      <w:pPr>
        <w:pStyle w:val="ConsPlusNormal"/>
        <w:spacing w:before="220"/>
        <w:ind w:firstLine="540"/>
        <w:jc w:val="both"/>
      </w:pPr>
      <w:bookmarkStart w:id="18" w:name="P144"/>
      <w:bookmarkEnd w:id="18"/>
      <w:r>
        <w:t>22. Биржа обеспечивает свободный доступ к обобщенным сведениям из реестра на своем официальном сайте в информационно-телекоммуникационной сети "Интернет".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Обобщенные сведения содержат информацию об объеме и ценах реализации товара. Биржа вправе дополнительно включать в состав обобщенных сведений иные 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Положения и </w:t>
      </w:r>
      <w:hyperlink w:anchor="P16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33" w:history="1">
        <w:r>
          <w:rPr>
            <w:color w:val="0000FF"/>
          </w:rPr>
          <w:t>3</w:t>
        </w:r>
      </w:hyperlink>
      <w:r>
        <w:t xml:space="preserve"> к настоящему Положению. Обобщенные сведения формируются на основе предоставленной бирже информации в отношении одновременно не менее 2 лиц, заключивших внебиржевой договор, и не менее 3 лиц, являющихся приобретателями товара. Обобщенные сведения не должны содержать информацию о сторонах внебиржевого договора и производителях товара.</w:t>
      </w:r>
    </w:p>
    <w:p w:rsidR="004E5191" w:rsidRDefault="004E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23. Предоставление сведений, предусмотренных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и выписок из реестра, предусмотренных </w:t>
      </w:r>
      <w:hyperlink w:anchor="P143" w:history="1">
        <w:r>
          <w:rPr>
            <w:color w:val="0000FF"/>
          </w:rPr>
          <w:t>пунктом 21</w:t>
        </w:r>
      </w:hyperlink>
      <w:r>
        <w:t xml:space="preserve"> настоящего Положения, осуществляется биржей в письменной форме на бумажном носителе или в электронном виде в форме электронного документа. При этом выписка из реестра заверяется подписью (электронной цифровой подписью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Федерации) уполномоченного лица биржи.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24. Информация, предоставляемая биржей федеральным органам исполнительной власти и органу, осуществляющему регулирование и надзор за деятельностью по проведению организованных торгов, является конфиденциальной. Указанные органы, получившие информацию из реестра, не вправе передавать ее третьим лицам, за исключением обобщенной информации, предусмотренной </w:t>
      </w:r>
      <w:hyperlink w:anchor="P144" w:history="1">
        <w:r>
          <w:rPr>
            <w:color w:val="0000FF"/>
          </w:rPr>
          <w:t>пунктом 22</w:t>
        </w:r>
      </w:hyperlink>
      <w:r>
        <w:t xml:space="preserve"> настоящего Положения, если иное не установлено законодательством Российской Федерации.</w:t>
      </w:r>
    </w:p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right"/>
        <w:outlineLvl w:val="1"/>
      </w:pPr>
      <w:r>
        <w:t>Приложение N 1</w:t>
      </w:r>
    </w:p>
    <w:p w:rsidR="004E5191" w:rsidRDefault="004E5191">
      <w:pPr>
        <w:pStyle w:val="ConsPlusNormal"/>
        <w:jc w:val="right"/>
      </w:pPr>
      <w:r>
        <w:t>к Положению о предоставлении</w:t>
      </w:r>
    </w:p>
    <w:p w:rsidR="004E5191" w:rsidRDefault="004E5191">
      <w:pPr>
        <w:pStyle w:val="ConsPlusNormal"/>
        <w:jc w:val="right"/>
      </w:pPr>
      <w:r>
        <w:t>информации о заключенных сторонами</w:t>
      </w:r>
    </w:p>
    <w:p w:rsidR="004E5191" w:rsidRDefault="004E5191">
      <w:pPr>
        <w:pStyle w:val="ConsPlusNormal"/>
        <w:jc w:val="right"/>
      </w:pPr>
      <w:r>
        <w:lastRenderedPageBreak/>
        <w:t>не на организованных торгах договорах,</w:t>
      </w:r>
    </w:p>
    <w:p w:rsidR="004E5191" w:rsidRDefault="004E5191">
      <w:pPr>
        <w:pStyle w:val="ConsPlusNormal"/>
        <w:jc w:val="right"/>
      </w:pPr>
      <w:proofErr w:type="gramStart"/>
      <w:r>
        <w:t>обязательства</w:t>
      </w:r>
      <w:proofErr w:type="gramEnd"/>
      <w:r>
        <w:t xml:space="preserve"> по которым предусматривают</w:t>
      </w:r>
    </w:p>
    <w:p w:rsidR="004E5191" w:rsidRDefault="004E5191">
      <w:pPr>
        <w:pStyle w:val="ConsPlusNormal"/>
        <w:jc w:val="right"/>
      </w:pPr>
      <w:r>
        <w:t>переход права собственности на товар,</w:t>
      </w:r>
    </w:p>
    <w:p w:rsidR="004E5191" w:rsidRDefault="004E5191">
      <w:pPr>
        <w:pStyle w:val="ConsPlusNormal"/>
        <w:jc w:val="right"/>
      </w:pPr>
      <w:proofErr w:type="gramStart"/>
      <w:r>
        <w:t>допущенный</w:t>
      </w:r>
      <w:proofErr w:type="gramEnd"/>
      <w:r>
        <w:t xml:space="preserve"> к организованным торгам,</w:t>
      </w:r>
    </w:p>
    <w:p w:rsidR="004E5191" w:rsidRDefault="004E5191">
      <w:pPr>
        <w:pStyle w:val="ConsPlusNormal"/>
        <w:jc w:val="right"/>
      </w:pPr>
      <w:r>
        <w:t xml:space="preserve">а также о ведении реестра </w:t>
      </w:r>
      <w:proofErr w:type="gramStart"/>
      <w:r>
        <w:t>таких</w:t>
      </w:r>
      <w:proofErr w:type="gramEnd"/>
    </w:p>
    <w:p w:rsidR="004E5191" w:rsidRDefault="004E5191">
      <w:pPr>
        <w:pStyle w:val="ConsPlusNormal"/>
        <w:jc w:val="right"/>
      </w:pPr>
      <w:r>
        <w:t xml:space="preserve">договоров 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4E5191" w:rsidRDefault="004E5191">
      <w:pPr>
        <w:pStyle w:val="ConsPlusNormal"/>
        <w:jc w:val="right"/>
      </w:pPr>
      <w:r>
        <w:t>из указанного реестра</w:t>
      </w:r>
    </w:p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center"/>
      </w:pPr>
      <w:bookmarkStart w:id="19" w:name="P165"/>
      <w:bookmarkEnd w:id="19"/>
      <w:r>
        <w:t>ПЕРЕЧЕНЬ</w:t>
      </w:r>
    </w:p>
    <w:p w:rsidR="004E5191" w:rsidRDefault="004E5191">
      <w:pPr>
        <w:pStyle w:val="ConsPlusNormal"/>
        <w:jc w:val="center"/>
      </w:pPr>
      <w:r>
        <w:t>СВЕДЕНИЙ, ПРЕДОСТАВЛЯЕМЫХ БИРЖЕ В ОТНОШЕНИИ</w:t>
      </w:r>
    </w:p>
    <w:p w:rsidR="004E5191" w:rsidRDefault="004E5191">
      <w:pPr>
        <w:pStyle w:val="ConsPlusNormal"/>
        <w:jc w:val="center"/>
      </w:pPr>
      <w:r>
        <w:t>ПОСТАВКИ НЕФТЕПРОДУКТОВ</w:t>
      </w:r>
    </w:p>
    <w:p w:rsidR="004E5191" w:rsidRDefault="004E5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ind w:firstLine="540"/>
        <w:jc w:val="both"/>
      </w:pPr>
      <w:r>
        <w:t>1. Наличие либо отсутствие основания для применения льготного ценообразования на нефтепродукты, предусмотренного законодательством Российской Федерации, с указанием реквизитов соответствующего нормативного правового акта.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2. Характеристика нефтепродуктов с указанием реквизитов нормативного документа, устанавливающего требования к выпускаемым в оборот нефтепродуктам, а также информации в отношении: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а) бензинов автомобильных - марка (октановое число), вид, экологический класс;</w:t>
      </w:r>
    </w:p>
    <w:p w:rsidR="004E5191" w:rsidRDefault="004E5191">
      <w:pPr>
        <w:pStyle w:val="ConsPlusNormal"/>
        <w:spacing w:before="220"/>
        <w:ind w:firstLine="540"/>
        <w:jc w:val="both"/>
      </w:pPr>
      <w:proofErr w:type="gramStart"/>
      <w:r>
        <w:t xml:space="preserve">б) дизельного топлива - марка, вид, класс (сорт), температура застывания, предельная температура </w:t>
      </w:r>
      <w:proofErr w:type="spellStart"/>
      <w:r>
        <w:t>фильтруемости</w:t>
      </w:r>
      <w:proofErr w:type="spellEnd"/>
      <w:r>
        <w:t>, температура вспышки, экологический класс, массовая доля серы;</w:t>
      </w:r>
      <w:proofErr w:type="gramEnd"/>
    </w:p>
    <w:p w:rsidR="004E5191" w:rsidRDefault="004E5191">
      <w:pPr>
        <w:pStyle w:val="ConsPlusNormal"/>
        <w:spacing w:before="220"/>
        <w:ind w:firstLine="540"/>
        <w:jc w:val="both"/>
      </w:pPr>
      <w:r>
        <w:t>в) топлива для реактивных двигателей - марка;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г) мазута - марка, вид, зольность или </w:t>
      </w:r>
      <w:proofErr w:type="spellStart"/>
      <w:r>
        <w:t>малозольность</w:t>
      </w:r>
      <w:proofErr w:type="spellEnd"/>
      <w:r>
        <w:t>, температура застывания в условном обозначении (при наличии).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3. Способ формирования указанной во внебиржевом договоре (дополнительном соглашении) цены нефтепродуктов (фиксированная цена, использование формулы, установление скидок или надбавок).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4. Сведения об условиях оплаты нефтепродуктов (платеж по факту отгрузки, отсрочка платежа, предоплата) с указанием количества дней при отсрочке платежа или предоплате.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5. Стоимость всех дополнительных услуг, связанных со сливом и (или) наливом нефтепродуктов в цистерну (рублей).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6. Сведения о месте отгрузки нефтепродуктов (нефтеперерабатывающий завод, предприятие нефтепродуктообеспечения, железнодорожная станция, перевалочный терминал для отгрузки водным транспортом, линейная производственно-диспетчерская станция).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7. Условия поставки нефтепродуктов (франко-вагон станции назначения с возможностью поставки в резервуар покупателя, франко-автоцистерна, франко-вагон станции отправления, франко-вагон промежуточной станции, самовывоз железнодорожным транспортом, франко-станция назначения, франко-труба, франко-резервуар, франко-борт судна).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jc w:val="right"/>
        <w:outlineLvl w:val="1"/>
      </w:pPr>
      <w:r>
        <w:t>Приложение N 2</w:t>
      </w:r>
    </w:p>
    <w:p w:rsidR="004E5191" w:rsidRDefault="004E5191">
      <w:pPr>
        <w:pStyle w:val="ConsPlusNormal"/>
        <w:jc w:val="right"/>
      </w:pPr>
      <w:r>
        <w:lastRenderedPageBreak/>
        <w:t>к Положению о предоставлении</w:t>
      </w:r>
    </w:p>
    <w:p w:rsidR="004E5191" w:rsidRDefault="004E5191">
      <w:pPr>
        <w:pStyle w:val="ConsPlusNormal"/>
        <w:jc w:val="right"/>
      </w:pPr>
      <w:r>
        <w:t>информации о заключенных сторонами</w:t>
      </w:r>
    </w:p>
    <w:p w:rsidR="004E5191" w:rsidRDefault="004E5191">
      <w:pPr>
        <w:pStyle w:val="ConsPlusNormal"/>
        <w:jc w:val="right"/>
      </w:pPr>
      <w:r>
        <w:t>не на организованных торгах договорах,</w:t>
      </w:r>
    </w:p>
    <w:p w:rsidR="004E5191" w:rsidRDefault="004E5191">
      <w:pPr>
        <w:pStyle w:val="ConsPlusNormal"/>
        <w:jc w:val="right"/>
      </w:pPr>
      <w:proofErr w:type="gramStart"/>
      <w:r>
        <w:t>обязательства</w:t>
      </w:r>
      <w:proofErr w:type="gramEnd"/>
      <w:r>
        <w:t xml:space="preserve"> по которым предусматривают</w:t>
      </w:r>
    </w:p>
    <w:p w:rsidR="004E5191" w:rsidRDefault="004E5191">
      <w:pPr>
        <w:pStyle w:val="ConsPlusNormal"/>
        <w:jc w:val="right"/>
      </w:pPr>
      <w:r>
        <w:t>переход права собственности на товар,</w:t>
      </w:r>
    </w:p>
    <w:p w:rsidR="004E5191" w:rsidRDefault="004E5191">
      <w:pPr>
        <w:pStyle w:val="ConsPlusNormal"/>
        <w:jc w:val="right"/>
      </w:pPr>
      <w:proofErr w:type="gramStart"/>
      <w:r>
        <w:t>допущенный</w:t>
      </w:r>
      <w:proofErr w:type="gramEnd"/>
      <w:r>
        <w:t xml:space="preserve"> к организованным торгам,</w:t>
      </w:r>
    </w:p>
    <w:p w:rsidR="004E5191" w:rsidRDefault="004E5191">
      <w:pPr>
        <w:pStyle w:val="ConsPlusNormal"/>
        <w:jc w:val="right"/>
      </w:pPr>
      <w:r>
        <w:t xml:space="preserve">а также о ведении реестра </w:t>
      </w:r>
      <w:proofErr w:type="gramStart"/>
      <w:r>
        <w:t>таких</w:t>
      </w:r>
      <w:proofErr w:type="gramEnd"/>
    </w:p>
    <w:p w:rsidR="004E5191" w:rsidRDefault="004E5191">
      <w:pPr>
        <w:pStyle w:val="ConsPlusNormal"/>
        <w:jc w:val="right"/>
      </w:pPr>
      <w:r>
        <w:t xml:space="preserve">договоров 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4E5191" w:rsidRDefault="004E5191">
      <w:pPr>
        <w:pStyle w:val="ConsPlusNormal"/>
        <w:jc w:val="right"/>
      </w:pPr>
      <w:r>
        <w:t>из указанного реестра</w:t>
      </w:r>
    </w:p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center"/>
      </w:pPr>
      <w:bookmarkStart w:id="20" w:name="P198"/>
      <w:bookmarkEnd w:id="20"/>
      <w:r>
        <w:t>ПЕРЕЧЕНЬ</w:t>
      </w:r>
    </w:p>
    <w:p w:rsidR="004E5191" w:rsidRDefault="004E5191">
      <w:pPr>
        <w:pStyle w:val="ConsPlusNormal"/>
        <w:jc w:val="center"/>
      </w:pPr>
      <w:r>
        <w:t>СВЕДЕНИЙ, ПРЕДОСТАВЛЯЕМЫХ БИРЖЕ В ОТНОШЕНИИ ПОСТАВКИ УГЛЕЙ</w:t>
      </w:r>
    </w:p>
    <w:p w:rsidR="004E5191" w:rsidRDefault="004E5191">
      <w:pPr>
        <w:pStyle w:val="ConsPlusNormal"/>
        <w:jc w:val="center"/>
      </w:pPr>
      <w:proofErr w:type="gramStart"/>
      <w:r>
        <w:t>КОКСУЮЩИХСЯ</w:t>
      </w:r>
      <w:proofErr w:type="gramEnd"/>
      <w:r>
        <w:t>, КАМЕННЫХ, БУРЫХ И АНТРАЦИТА</w:t>
      </w:r>
    </w:p>
    <w:p w:rsidR="004E5191" w:rsidRDefault="004E5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ind w:firstLine="540"/>
        <w:jc w:val="both"/>
      </w:pPr>
      <w:r>
        <w:t>1. Наличие либо отсутствие основания для применения льготного ценообразования на уголь, предусмотренного законодательством Российской Федерации, с указанием реквизитов соответствующего нормативного правового акта.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Обогащение (уголь необогащенный, уголь обогащенный, побочный продукт (</w:t>
      </w:r>
      <w:proofErr w:type="spellStart"/>
      <w:r>
        <w:t>промпродукт</w:t>
      </w:r>
      <w:proofErr w:type="spellEnd"/>
      <w:r>
        <w:t>, отсев, шлам, угольные брикеты).</w:t>
      </w:r>
      <w:proofErr w:type="gramEnd"/>
    </w:p>
    <w:p w:rsidR="004E5191" w:rsidRDefault="004E5191">
      <w:pPr>
        <w:pStyle w:val="ConsPlusNormal"/>
        <w:spacing w:before="220"/>
        <w:ind w:firstLine="540"/>
        <w:jc w:val="both"/>
      </w:pPr>
      <w:r>
        <w:t>3. Группа угля (антрацит, уголь для коксования, уголь каменный, энергетический, уголь бурый энергетический).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4. Марка угля в соответствии с </w:t>
      </w:r>
      <w:hyperlink r:id="rId47" w:history="1">
        <w:r>
          <w:rPr>
            <w:color w:val="0000FF"/>
          </w:rPr>
          <w:t>ГОСТ 25543-2013</w:t>
        </w:r>
      </w:hyperlink>
      <w:r>
        <w:t>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5. Фракция угля (</w:t>
      </w:r>
      <w:proofErr w:type="gramStart"/>
      <w:r>
        <w:t>П</w:t>
      </w:r>
      <w:proofErr w:type="gramEnd"/>
      <w:r>
        <w:t xml:space="preserve"> - плитный (&gt; 100 мм), К - крупный (50 - 100 мм), О - орех (25 - 50 мм), М - мелкий (13 - 25 мм), С - семечко (6 - 13 мм), Ш - штыб (0 - 6 мм), Р - рядовой (любого размера), совмещенные фракции: </w:t>
      </w:r>
      <w:proofErr w:type="gramStart"/>
      <w:r>
        <w:t>ОМСШ, ПК, КОМ, СШ).</w:t>
      </w:r>
      <w:proofErr w:type="gramEnd"/>
    </w:p>
    <w:p w:rsidR="004E5191" w:rsidRDefault="004E5191">
      <w:pPr>
        <w:pStyle w:val="ConsPlusNormal"/>
        <w:spacing w:before="220"/>
        <w:ind w:firstLine="540"/>
        <w:jc w:val="both"/>
      </w:pPr>
      <w:r>
        <w:t>6. Калорийность угля (</w:t>
      </w:r>
      <w:proofErr w:type="gramStart"/>
      <w:r>
        <w:t>ккал</w:t>
      </w:r>
      <w:proofErr w:type="gramEnd"/>
      <w:r>
        <w:t>/кг).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7. Содержание влаги (процентов).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8. Содержание золы (процентов).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9. Содержание серы (процентов).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Пластометрический</w:t>
      </w:r>
      <w:proofErr w:type="spellEnd"/>
      <w:r>
        <w:t xml:space="preserve"> показатель (только для коксующихся углей).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11. Выход летучих веществ (процентов).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12. Сведения об оплате угля за счет бюджетных средств.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 xml:space="preserve">13. Группа угля по степени </w:t>
      </w:r>
      <w:proofErr w:type="spellStart"/>
      <w:r>
        <w:t>окисленности</w:t>
      </w:r>
      <w:proofErr w:type="spellEnd"/>
      <w:r>
        <w:t xml:space="preserve"> согласно </w:t>
      </w:r>
      <w:hyperlink r:id="rId4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50904-96</w:t>
        </w:r>
      </w:hyperlink>
      <w:r>
        <w:t xml:space="preserve"> (если применимо).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jc w:val="right"/>
        <w:outlineLvl w:val="1"/>
      </w:pPr>
      <w:r>
        <w:t>Приложение N 3</w:t>
      </w:r>
    </w:p>
    <w:p w:rsidR="004E5191" w:rsidRDefault="004E5191">
      <w:pPr>
        <w:pStyle w:val="ConsPlusNormal"/>
        <w:jc w:val="right"/>
      </w:pPr>
      <w:r>
        <w:t>к Положению о предоставлении</w:t>
      </w:r>
    </w:p>
    <w:p w:rsidR="004E5191" w:rsidRDefault="004E5191">
      <w:pPr>
        <w:pStyle w:val="ConsPlusNormal"/>
        <w:jc w:val="right"/>
      </w:pPr>
      <w:r>
        <w:t>информации о заключенных сторонами</w:t>
      </w:r>
    </w:p>
    <w:p w:rsidR="004E5191" w:rsidRDefault="004E5191">
      <w:pPr>
        <w:pStyle w:val="ConsPlusNormal"/>
        <w:jc w:val="right"/>
      </w:pPr>
      <w:r>
        <w:t>не на организованных торгах договорах,</w:t>
      </w:r>
    </w:p>
    <w:p w:rsidR="004E5191" w:rsidRDefault="004E5191">
      <w:pPr>
        <w:pStyle w:val="ConsPlusNormal"/>
        <w:jc w:val="right"/>
      </w:pPr>
      <w:proofErr w:type="gramStart"/>
      <w:r>
        <w:t>обязательства</w:t>
      </w:r>
      <w:proofErr w:type="gramEnd"/>
      <w:r>
        <w:t xml:space="preserve"> по которым предусматривают</w:t>
      </w:r>
    </w:p>
    <w:p w:rsidR="004E5191" w:rsidRDefault="004E5191">
      <w:pPr>
        <w:pStyle w:val="ConsPlusNormal"/>
        <w:jc w:val="right"/>
      </w:pPr>
      <w:r>
        <w:lastRenderedPageBreak/>
        <w:t>переход права собственности на товар,</w:t>
      </w:r>
    </w:p>
    <w:p w:rsidR="004E5191" w:rsidRDefault="004E5191">
      <w:pPr>
        <w:pStyle w:val="ConsPlusNormal"/>
        <w:jc w:val="right"/>
      </w:pPr>
      <w:proofErr w:type="gramStart"/>
      <w:r>
        <w:t>допущенный</w:t>
      </w:r>
      <w:proofErr w:type="gramEnd"/>
      <w:r>
        <w:t xml:space="preserve"> к организованным торгам,</w:t>
      </w:r>
    </w:p>
    <w:p w:rsidR="004E5191" w:rsidRDefault="004E5191">
      <w:pPr>
        <w:pStyle w:val="ConsPlusNormal"/>
        <w:jc w:val="right"/>
      </w:pPr>
      <w:r>
        <w:t xml:space="preserve">а также о ведении реестра </w:t>
      </w:r>
      <w:proofErr w:type="gramStart"/>
      <w:r>
        <w:t>таких</w:t>
      </w:r>
      <w:proofErr w:type="gramEnd"/>
    </w:p>
    <w:p w:rsidR="004E5191" w:rsidRDefault="004E5191">
      <w:pPr>
        <w:pStyle w:val="ConsPlusNormal"/>
        <w:jc w:val="right"/>
      </w:pPr>
      <w:r>
        <w:t xml:space="preserve">договоров 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4E5191" w:rsidRDefault="004E5191">
      <w:pPr>
        <w:pStyle w:val="ConsPlusNormal"/>
        <w:jc w:val="right"/>
      </w:pPr>
      <w:r>
        <w:t>из указанного реестра</w:t>
      </w:r>
    </w:p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jc w:val="center"/>
      </w:pPr>
      <w:bookmarkStart w:id="21" w:name="P233"/>
      <w:bookmarkEnd w:id="21"/>
      <w:r>
        <w:t>ПЕРЕЧЕНЬ</w:t>
      </w:r>
    </w:p>
    <w:p w:rsidR="004E5191" w:rsidRDefault="004E5191">
      <w:pPr>
        <w:pStyle w:val="ConsPlusNormal"/>
        <w:jc w:val="center"/>
      </w:pPr>
      <w:r>
        <w:t>СВЕДЕНИЙ, ПРЕДОСТАВЛЯЕМЫХ БИРЖЕ В ОТНОШЕНИИ ПОСТАВКИ</w:t>
      </w:r>
    </w:p>
    <w:p w:rsidR="004E5191" w:rsidRDefault="004E5191">
      <w:pPr>
        <w:pStyle w:val="ConsPlusNormal"/>
        <w:jc w:val="center"/>
      </w:pPr>
      <w:r>
        <w:t>СЖИЖЕННЫХ УГЛЕВОДОРОДНЫХ ГАЗОВ</w:t>
      </w:r>
    </w:p>
    <w:p w:rsidR="004E5191" w:rsidRDefault="004E5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191" w:rsidRDefault="004E519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4E5191" w:rsidRDefault="004E5191">
      <w:pPr>
        <w:pStyle w:val="ConsPlusNormal"/>
        <w:jc w:val="center"/>
      </w:pPr>
    </w:p>
    <w:p w:rsidR="004E5191" w:rsidRDefault="004E5191">
      <w:pPr>
        <w:pStyle w:val="ConsPlusNormal"/>
        <w:ind w:firstLine="540"/>
        <w:jc w:val="both"/>
      </w:pPr>
      <w:r>
        <w:t>1. Наличие либо отсутствие основания для применения льготного ценообразования на сжиженные углеводородные газы, предусмотренного законодательством Российской Федерации, с указанием реквизитов соответствующего нормативного правового акта.</w:t>
      </w:r>
    </w:p>
    <w:p w:rsidR="004E5191" w:rsidRDefault="004E5191">
      <w:pPr>
        <w:pStyle w:val="ConsPlusNormal"/>
        <w:spacing w:before="220"/>
        <w:ind w:firstLine="540"/>
        <w:jc w:val="both"/>
      </w:pPr>
      <w:r>
        <w:t>2. Марка сжиженного углеводородного газа (с указанием ГОСТ при его наличии).</w:t>
      </w: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ind w:firstLine="540"/>
        <w:jc w:val="both"/>
      </w:pPr>
    </w:p>
    <w:p w:rsidR="004E5191" w:rsidRDefault="004E5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EE1" w:rsidRDefault="000E6EE1"/>
    <w:sectPr w:rsidR="000E6EE1" w:rsidSect="00FC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91"/>
    <w:rsid w:val="000715A4"/>
    <w:rsid w:val="000E6EE1"/>
    <w:rsid w:val="001506A9"/>
    <w:rsid w:val="001511C2"/>
    <w:rsid w:val="00160219"/>
    <w:rsid w:val="001A491E"/>
    <w:rsid w:val="001B00DE"/>
    <w:rsid w:val="001B5D99"/>
    <w:rsid w:val="00200FDB"/>
    <w:rsid w:val="002011C4"/>
    <w:rsid w:val="002748B7"/>
    <w:rsid w:val="002753A5"/>
    <w:rsid w:val="00283A26"/>
    <w:rsid w:val="00291040"/>
    <w:rsid w:val="002F0DDE"/>
    <w:rsid w:val="0033291C"/>
    <w:rsid w:val="003444FB"/>
    <w:rsid w:val="00423991"/>
    <w:rsid w:val="004D02FD"/>
    <w:rsid w:val="004E5191"/>
    <w:rsid w:val="005802F2"/>
    <w:rsid w:val="00580BA2"/>
    <w:rsid w:val="005C0D5C"/>
    <w:rsid w:val="005C6110"/>
    <w:rsid w:val="00636428"/>
    <w:rsid w:val="00692080"/>
    <w:rsid w:val="0069437A"/>
    <w:rsid w:val="006B154E"/>
    <w:rsid w:val="006D699F"/>
    <w:rsid w:val="006E54D7"/>
    <w:rsid w:val="006F449A"/>
    <w:rsid w:val="0070410E"/>
    <w:rsid w:val="00720D25"/>
    <w:rsid w:val="00765AA4"/>
    <w:rsid w:val="0089604D"/>
    <w:rsid w:val="008B0928"/>
    <w:rsid w:val="008E2AE6"/>
    <w:rsid w:val="009857DA"/>
    <w:rsid w:val="009F449A"/>
    <w:rsid w:val="00A14841"/>
    <w:rsid w:val="00A25085"/>
    <w:rsid w:val="00A50919"/>
    <w:rsid w:val="00AB7F5D"/>
    <w:rsid w:val="00AE12E7"/>
    <w:rsid w:val="00BA09D4"/>
    <w:rsid w:val="00BB6FCD"/>
    <w:rsid w:val="00C2314B"/>
    <w:rsid w:val="00C91918"/>
    <w:rsid w:val="00CD10AB"/>
    <w:rsid w:val="00CE0913"/>
    <w:rsid w:val="00D145F8"/>
    <w:rsid w:val="00DA09B6"/>
    <w:rsid w:val="00DF5859"/>
    <w:rsid w:val="00E23C38"/>
    <w:rsid w:val="00E32D68"/>
    <w:rsid w:val="00E604A9"/>
    <w:rsid w:val="00E7428E"/>
    <w:rsid w:val="00EA3B42"/>
    <w:rsid w:val="00F150A9"/>
    <w:rsid w:val="00F55041"/>
    <w:rsid w:val="00F55161"/>
    <w:rsid w:val="00FB6F06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9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E519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E5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9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E519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E5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63F89180DACE6451EFEB263733DEB2F4B3980CBEEA8BDE33B2B92E1172157B49E10FF43170BA9E5E51769EE52B318A8D09FA2ED018E615uEKCG" TargetMode="External"/><Relationship Id="rId18" Type="http://schemas.openxmlformats.org/officeDocument/2006/relationships/hyperlink" Target="consultantplus://offline/ref=F563F89180DACE6451EFEB263733DEB2F6BA9B0BBCEC8BDE33B2B92E1172157B49E10FF1387BEECE1B0F2FCDA4603C8E9615FA29uCK7G" TargetMode="External"/><Relationship Id="rId26" Type="http://schemas.openxmlformats.org/officeDocument/2006/relationships/hyperlink" Target="consultantplus://offline/ref=F563F89180DACE6451EFEB263733DEB2F4B3980CBEEA8BDE33B2B92E1172157B49E10FF43170BA9D5751769EE52B318A8D09FA2ED018E615uEKCG" TargetMode="External"/><Relationship Id="rId39" Type="http://schemas.openxmlformats.org/officeDocument/2006/relationships/hyperlink" Target="consultantplus://offline/ref=F563F89180DACE6451EFEB263733DEB2F6BA9B0BBCEC8BDE33B2B92E1172157B49E10FF1387BEECE1B0F2FCDA4603C8E9615FA29uCK7G" TargetMode="External"/><Relationship Id="rId21" Type="http://schemas.openxmlformats.org/officeDocument/2006/relationships/hyperlink" Target="consultantplus://offline/ref=F563F89180DACE6451EFEB263733DEB2F4B3980CBEEA8BDE33B2B92E1172157B49E10FF43170BA9D5E51769EE52B318A8D09FA2ED018E615uEKCG" TargetMode="External"/><Relationship Id="rId34" Type="http://schemas.openxmlformats.org/officeDocument/2006/relationships/hyperlink" Target="consultantplus://offline/ref=F563F89180DACE6451EFEB263733DEB2F4B3980CBEEA8BDE33B2B92E1172157B49E10FF43170BA9B5D51769EE52B318A8D09FA2ED018E615uEKCG" TargetMode="External"/><Relationship Id="rId42" Type="http://schemas.openxmlformats.org/officeDocument/2006/relationships/hyperlink" Target="consultantplus://offline/ref=F563F89180DACE6451EFEB263733DEB2F4B3980CBEEA8BDE33B2B92E1172157B49E10FF43170BA9A5B51769EE52B318A8D09FA2ED018E615uEKCG" TargetMode="External"/><Relationship Id="rId47" Type="http://schemas.openxmlformats.org/officeDocument/2006/relationships/hyperlink" Target="consultantplus://offline/ref=F563F89180DACE6451EFE8332E33DEB2F3BE9B02B3BEDCDC62E7B72B19224F6B5FA800F02F70BC815D5A23uCK6G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4.xml"/><Relationship Id="rId7" Type="http://schemas.openxmlformats.org/officeDocument/2006/relationships/hyperlink" Target="consultantplus://offline/ref=F563F89180DACE6451EFEB263733DEB2F4BA9B0DB0ED8BDE33B2B92E1172157B5BE157F83375A49F594420CFA0u7K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63F89180DACE6451EFEB263733DEB2F4B3980CBEEA8BDE33B2B92E1172157B49E10FF43170BA9E5A51769EE52B318A8D09FA2ED018E615uEKCG" TargetMode="External"/><Relationship Id="rId29" Type="http://schemas.openxmlformats.org/officeDocument/2006/relationships/hyperlink" Target="consultantplus://offline/ref=F563F89180DACE6451EFEB263733DEB2F4B3980CBEEA8BDE33B2B92E1172157B49E10FF43170BA9C5C51769EE52B318A8D09FA2ED018E615uEKCG" TargetMode="External"/><Relationship Id="rId11" Type="http://schemas.openxmlformats.org/officeDocument/2006/relationships/hyperlink" Target="consultantplus://offline/ref=F563F89180DACE6451EFEB263733DEB2F6BA9B0BBCEC8BDE33B2B92E1172157B49E10FF43170BB9E5651769EE52B318A8D09FA2ED018E615uEKCG" TargetMode="External"/><Relationship Id="rId24" Type="http://schemas.openxmlformats.org/officeDocument/2006/relationships/hyperlink" Target="consultantplus://offline/ref=F563F89180DACE6451EFEB263733DEB2F4B3980CBEEA8BDE33B2B92E1172157B49E10FF43170BA9D5951769EE52B318A8D09FA2ED018E615uEKCG" TargetMode="External"/><Relationship Id="rId32" Type="http://schemas.openxmlformats.org/officeDocument/2006/relationships/hyperlink" Target="consultantplus://offline/ref=F563F89180DACE6451EFEB263733DEB2F4B3980CBEEA8BDE33B2B92E1172157B49E10FF43170BA9C5651769EE52B318A8D09FA2ED018E615uEKCG" TargetMode="External"/><Relationship Id="rId37" Type="http://schemas.openxmlformats.org/officeDocument/2006/relationships/hyperlink" Target="consultantplus://offline/ref=F563F89180DACE6451EFEB263733DEB2F4B3980CBEEA8BDE33B2B92E1172157B49E10FF43170BA9B5651769EE52B318A8D09FA2ED018E615uEKCG" TargetMode="External"/><Relationship Id="rId40" Type="http://schemas.openxmlformats.org/officeDocument/2006/relationships/hyperlink" Target="consultantplus://offline/ref=F563F89180DACE6451EFEB263733DEB2F4B3980CBEEA8BDE33B2B92E1172157B49E10FF43170BA9A5E51769EE52B318A8D09FA2ED018E615uEKCG" TargetMode="External"/><Relationship Id="rId45" Type="http://schemas.openxmlformats.org/officeDocument/2006/relationships/hyperlink" Target="consultantplus://offline/ref=F563F89180DACE6451EFEB263733DEB2F4B3980CBEEA8BDE33B2B92E1172157B49E10FF43170BA9A5651769EE52B318A8D09FA2ED018E615uEKCG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consultantplus://offline/ref=F563F89180DACE6451EFEB263733DEB2F4B3980CBEEA8BDE33B2B92E1172157B49E10FF43170BA9F5A51769EE52B318A8D09FA2ED018E615uEKCG" TargetMode="External"/><Relationship Id="rId10" Type="http://schemas.openxmlformats.org/officeDocument/2006/relationships/hyperlink" Target="consultantplus://offline/ref=F563F89180DACE6451EFEB263733DEB2F4B3980CBEEA8BDE33B2B92E1172157B49E10FF43170BA9F5A51769EE52B318A8D09FA2ED018E615uEKCG" TargetMode="External"/><Relationship Id="rId19" Type="http://schemas.openxmlformats.org/officeDocument/2006/relationships/hyperlink" Target="consultantplus://offline/ref=F563F89180DACE6451EFEB263733DEB2F4B3980CBEEA8BDE33B2B92E1172157B49E10FF43170BA9E5851769EE52B318A8D09FA2ED018E615uEKCG" TargetMode="External"/><Relationship Id="rId31" Type="http://schemas.openxmlformats.org/officeDocument/2006/relationships/hyperlink" Target="consultantplus://offline/ref=F563F89180DACE6451EFEB263733DEB2F4B3980CBEEA8BDE33B2B92E1172157B49E10FF43170BA9C5851769EE52B318A8D09FA2ED018E615uEKCG" TargetMode="External"/><Relationship Id="rId44" Type="http://schemas.openxmlformats.org/officeDocument/2006/relationships/hyperlink" Target="consultantplus://offline/ref=F563F89180DACE6451EFEB263733DEB2F7B99B02B8EE8BDE33B2B92E1172157B49E10FF43170BA9B5A51769EE52B318A8D09FA2ED018E615uEKCG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3F89180DACE6451EFEB263733DEB2F4B8980ABFE08BDE33B2B92E1172157B5BE157F83375A49F594420CFA0u7K7G" TargetMode="External"/><Relationship Id="rId14" Type="http://schemas.openxmlformats.org/officeDocument/2006/relationships/hyperlink" Target="consultantplus://offline/ref=F563F89180DACE6451EFEB263733DEB2F4B3980CBEEA8BDE33B2B92E1172157B49E10FF43170BA9E5D51769EE52B318A8D09FA2ED018E615uEKCG" TargetMode="External"/><Relationship Id="rId22" Type="http://schemas.openxmlformats.org/officeDocument/2006/relationships/hyperlink" Target="consultantplus://offline/ref=F563F89180DACE6451EFEB263733DEB2F4B3980CBEEA8BDE33B2B92E1172157B49E10FF43170BA9D5C51769EE52B318A8D09FA2ED018E615uEKCG" TargetMode="External"/><Relationship Id="rId27" Type="http://schemas.openxmlformats.org/officeDocument/2006/relationships/hyperlink" Target="consultantplus://offline/ref=F563F89180DACE6451EFEB263733DEB2F4B3980CBEEA8BDE33B2B92E1172157B49E10FF43170BA9D5651769EE52B318A8D09FA2ED018E615uEKCG" TargetMode="External"/><Relationship Id="rId30" Type="http://schemas.openxmlformats.org/officeDocument/2006/relationships/hyperlink" Target="consultantplus://offline/ref=F563F89180DACE6451EFEB263733DEB2F4B3980CBEEA8BDE33B2B92E1172157B49E10FF43170BA9C5951769EE52B318A8D09FA2ED018E615uEKCG" TargetMode="External"/><Relationship Id="rId35" Type="http://schemas.openxmlformats.org/officeDocument/2006/relationships/hyperlink" Target="consultantplus://offline/ref=F563F89180DACE6451EFEB263733DEB2F4B3980CBEEA8BDE33B2B92E1172157B49E10FF43170BA9B5C51769EE52B318A8D09FA2ED018E615uEKCG" TargetMode="External"/><Relationship Id="rId43" Type="http://schemas.openxmlformats.org/officeDocument/2006/relationships/hyperlink" Target="consultantplus://offline/ref=F563F89180DACE6451EFEB263733DEB2F4B3980CBEEA8BDE33B2B92E1172157B49E10FF43170BA9A5951769EE52B318A8D09FA2ED018E615uEKCG" TargetMode="External"/><Relationship Id="rId48" Type="http://schemas.openxmlformats.org/officeDocument/2006/relationships/hyperlink" Target="consultantplus://offline/ref=F563F89180DACE6451EFE8332E33DEB2F4B89303B1E3D6D43BEBB52C167D4A7E4EF00FF7346EBA99415822CEuAK8G" TargetMode="External"/><Relationship Id="rId8" Type="http://schemas.openxmlformats.org/officeDocument/2006/relationships/hyperlink" Target="consultantplus://offline/ref=F563F89180DACE6451EFEB263733DEB2F4B8980AB0EF8BDE33B2B92E1172157B5BE157F83375A49F594420CFA0u7K7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63F89180DACE6451EFEB263733DEB2F4B89D0DBCEA8BDE33B2B92E1172157B49E10FF43170BA9E5D51769EE52B318A8D09FA2ED018E615uEKCG" TargetMode="External"/><Relationship Id="rId17" Type="http://schemas.openxmlformats.org/officeDocument/2006/relationships/hyperlink" Target="consultantplus://offline/ref=F563F89180DACE6451EFEB263733DEB2F4B3980CBEEA8BDE33B2B92E1172157B49E10FF43170BA9E5951769EE52B318A8D09FA2ED018E615uEKCG" TargetMode="External"/><Relationship Id="rId25" Type="http://schemas.openxmlformats.org/officeDocument/2006/relationships/hyperlink" Target="consultantplus://offline/ref=F563F89180DACE6451EFEB263733DEB2F4B3980CBEEA8BDE33B2B92E1172157B49E10FF43170BA9D5851769EE52B318A8D09FA2ED018E615uEKCG" TargetMode="External"/><Relationship Id="rId33" Type="http://schemas.openxmlformats.org/officeDocument/2006/relationships/hyperlink" Target="consultantplus://offline/ref=F563F89180DACE6451EFEB263733DEB2F4B3980CBEEA8BDE33B2B92E1172157B49E10FF43170BA9B5E51769EE52B318A8D09FA2ED018E615uEKCG" TargetMode="External"/><Relationship Id="rId38" Type="http://schemas.openxmlformats.org/officeDocument/2006/relationships/hyperlink" Target="consultantplus://offline/ref=F563F89180DACE6451EFEB263733DEB2F4B3980CBEEA8BDE33B2B92E1172157B49E10FF43170BA9A5E51769EE52B318A8D09FA2ED018E615uEKCG" TargetMode="External"/><Relationship Id="rId46" Type="http://schemas.openxmlformats.org/officeDocument/2006/relationships/hyperlink" Target="consultantplus://offline/ref=F563F89180DACE6451EFEB263733DEB2F4B3980CBEEA8BDE33B2B92E1172157B49E10FF43170BA9A5651769EE52B318A8D09FA2ED018E615uEKCG" TargetMode="External"/><Relationship Id="rId20" Type="http://schemas.openxmlformats.org/officeDocument/2006/relationships/hyperlink" Target="consultantplus://offline/ref=F563F89180DACE6451EFEB263733DEB2F4B3980CBEEA8BDE33B2B92E1172157B49E10FF43170BA9E5751769EE52B318A8D09FA2ED018E615uEKCG" TargetMode="External"/><Relationship Id="rId41" Type="http://schemas.openxmlformats.org/officeDocument/2006/relationships/hyperlink" Target="consultantplus://offline/ref=F563F89180DACE6451EFEB263733DEB2F4B3980CBEEA8BDE33B2B92E1172157B49E10FF43170BA9A5D51769EE52B318A8D09FA2ED018E615uEKCG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3F89180DACE6451EFEB263733DEB2F6BA9B0BBCEC8BDE33B2B92E1172157B49E10FF43170BB9C5951769EE52B318A8D09FA2ED018E615uEKCG" TargetMode="External"/><Relationship Id="rId15" Type="http://schemas.openxmlformats.org/officeDocument/2006/relationships/hyperlink" Target="consultantplus://offline/ref=F563F89180DACE6451EFEB263733DEB2F4B3980CBEEA8BDE33B2B92E1172157B49E10FF43170BA9E5C51769EE52B318A8D09FA2ED018E615uEKCG" TargetMode="External"/><Relationship Id="rId23" Type="http://schemas.openxmlformats.org/officeDocument/2006/relationships/hyperlink" Target="consultantplus://offline/ref=F563F89180DACE6451EFEB263733DEB2F4B3980CBEEA8BDE33B2B92E1172157B49E10FF43170BA9D5B51769EE52B318A8D09FA2ED018E615uEKCG" TargetMode="External"/><Relationship Id="rId28" Type="http://schemas.openxmlformats.org/officeDocument/2006/relationships/hyperlink" Target="consultantplus://offline/ref=F563F89180DACE6451EFEB263733DEB2F4B3980CBEEA8BDE33B2B92E1172157B49E10FF43170BA9C5F51769EE52B318A8D09FA2ED018E615uEKCG" TargetMode="External"/><Relationship Id="rId36" Type="http://schemas.openxmlformats.org/officeDocument/2006/relationships/hyperlink" Target="consultantplus://offline/ref=F563F89180DACE6451EFEB263733DEB2F4B3980CBEEA8BDE33B2B92E1172157B49E10FF43170BA9B5751769EE52B318A8D09FA2ED018E615uEKCG" TargetMode="External"/><Relationship Id="rId49" Type="http://schemas.openxmlformats.org/officeDocument/2006/relationships/hyperlink" Target="consultantplus://offline/ref=F563F89180DACE6451EFEB263733DEB2F4B3980CBEEA8BDE33B2B92E1172157B49E10FF43170BA9A5651769EE52B318A8D09FA2ED018E615uE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XXJ7TYMEEKJ2-2300-2474</_dlc_DocId>
    <_dlc_DocIdUrl xmlns="57504d04-691e-4fc4-8f09-4f19fdbe90f6">
      <Url>https://vip.gov.mari.ru/minselhoz/_layouts/DocIdRedir.aspx?ID=XXJ7TYMEEKJ2-2300-2474</Url>
      <Description>XXJ7TYMEEKJ2-2300-2474</Description>
    </_dlc_DocIdUrl>
  </documentManagement>
</p:properties>
</file>

<file path=customXml/itemProps1.xml><?xml version="1.0" encoding="utf-8"?>
<ds:datastoreItem xmlns:ds="http://schemas.openxmlformats.org/officeDocument/2006/customXml" ds:itemID="{8329298D-D973-448C-9CEF-5C7262FD905E}"/>
</file>

<file path=customXml/itemProps2.xml><?xml version="1.0" encoding="utf-8"?>
<ds:datastoreItem xmlns:ds="http://schemas.openxmlformats.org/officeDocument/2006/customXml" ds:itemID="{7B13E2E1-F152-4252-8CF6-44EF00461ABB}"/>
</file>

<file path=customXml/itemProps3.xml><?xml version="1.0" encoding="utf-8"?>
<ds:datastoreItem xmlns:ds="http://schemas.openxmlformats.org/officeDocument/2006/customXml" ds:itemID="{3871624C-738B-4C6C-B1B9-105EF52E4D68}"/>
</file>

<file path=customXml/itemProps4.xml><?xml version="1.0" encoding="utf-8"?>
<ds:datastoreItem xmlns:ds="http://schemas.openxmlformats.org/officeDocument/2006/customXml" ds:itemID="{4D25712F-22E1-4E81-88AC-026B567AA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№325-ФЗ "Об организованных торгах"</dc:title>
  <dc:creator>user</dc:creator>
  <cp:lastModifiedBy>user</cp:lastModifiedBy>
  <cp:revision>1</cp:revision>
  <dcterms:created xsi:type="dcterms:W3CDTF">2019-06-25T06:10:00Z</dcterms:created>
  <dcterms:modified xsi:type="dcterms:W3CDTF">2019-06-25T06:11:00Z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5a7f2063-b98a-4f09-934f-5ff978a7fb41</vt:lpwstr>
  </property>
</Properties>
</file>