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E9" w:rsidRDefault="00D029E9" w:rsidP="00D029E9">
      <w:pPr>
        <w:pStyle w:val="a3"/>
        <w:spacing w:before="0" w:after="0"/>
        <w:rPr>
          <w:szCs w:val="28"/>
        </w:rPr>
      </w:pPr>
      <w:r w:rsidRPr="00D029E9">
        <w:rPr>
          <w:szCs w:val="28"/>
        </w:rPr>
        <w:t>Учетная политика</w:t>
      </w:r>
      <w:r w:rsidRPr="00D029E9">
        <w:rPr>
          <w:szCs w:val="28"/>
        </w:rPr>
        <w:br/>
        <w:t>Министерства государственного имущества Республики Марий Эл</w:t>
      </w:r>
      <w:r w:rsidRPr="00D029E9">
        <w:rPr>
          <w:szCs w:val="28"/>
        </w:rPr>
        <w:br/>
        <w:t>для целей бюджетного учета (краткий обзор)</w:t>
      </w:r>
    </w:p>
    <w:p w:rsidR="00D029E9" w:rsidRPr="00D029E9" w:rsidRDefault="00D029E9" w:rsidP="00D029E9"/>
    <w:p w:rsidR="00D029E9" w:rsidRDefault="00D029E9" w:rsidP="00D029E9">
      <w:pPr>
        <w:pStyle w:val="a3"/>
        <w:spacing w:before="0" w:after="0"/>
        <w:ind w:firstLine="709"/>
        <w:jc w:val="both"/>
        <w:rPr>
          <w:b w:val="0"/>
          <w:color w:val="000000" w:themeColor="text1"/>
          <w:szCs w:val="28"/>
        </w:rPr>
      </w:pPr>
      <w:proofErr w:type="gramStart"/>
      <w:r w:rsidRPr="00D029E9">
        <w:rPr>
          <w:b w:val="0"/>
          <w:szCs w:val="28"/>
        </w:rPr>
        <w:t xml:space="preserve">Приказом </w:t>
      </w:r>
      <w:r w:rsidRPr="00D029E9">
        <w:rPr>
          <w:b w:val="0"/>
          <w:color w:val="000000"/>
          <w:szCs w:val="28"/>
        </w:rPr>
        <w:t>Министерства государственного имущества Республики Марий Эл от 26 декабря 2018 года № 708-од «</w:t>
      </w:r>
      <w:r w:rsidRPr="00D029E9">
        <w:rPr>
          <w:b w:val="0"/>
          <w:szCs w:val="28"/>
        </w:rPr>
        <w:t xml:space="preserve">Об утверждении Учетной политики Министерства государственного имущества Республики </w:t>
      </w:r>
      <w:r>
        <w:rPr>
          <w:b w:val="0"/>
          <w:szCs w:val="28"/>
        </w:rPr>
        <w:br/>
      </w:r>
      <w:r w:rsidRPr="00D029E9">
        <w:rPr>
          <w:b w:val="0"/>
          <w:szCs w:val="28"/>
        </w:rPr>
        <w:t>Марий Эл для целей бюджетного учета</w:t>
      </w:r>
      <w:r>
        <w:rPr>
          <w:b w:val="0"/>
          <w:szCs w:val="28"/>
        </w:rPr>
        <w:t xml:space="preserve">» утверждена Учетная политика, применение которой начинается с 1 января 2019 года во все </w:t>
      </w:r>
      <w:r w:rsidRPr="00D029E9">
        <w:rPr>
          <w:b w:val="0"/>
          <w:color w:val="000000" w:themeColor="text1"/>
          <w:szCs w:val="28"/>
        </w:rPr>
        <w:t xml:space="preserve">последующие отчетные периоды с внесением в нее необходимых изменений </w:t>
      </w:r>
      <w:r w:rsidR="005C4015">
        <w:rPr>
          <w:b w:val="0"/>
          <w:color w:val="000000" w:themeColor="text1"/>
          <w:szCs w:val="28"/>
        </w:rPr>
        <w:br/>
      </w:r>
      <w:r w:rsidRPr="00D029E9">
        <w:rPr>
          <w:b w:val="0"/>
          <w:color w:val="000000" w:themeColor="text1"/>
          <w:szCs w:val="28"/>
        </w:rPr>
        <w:t>и дополнений</w:t>
      </w:r>
      <w:r>
        <w:rPr>
          <w:b w:val="0"/>
          <w:color w:val="000000" w:themeColor="text1"/>
          <w:szCs w:val="28"/>
        </w:rPr>
        <w:t>.</w:t>
      </w:r>
      <w:proofErr w:type="gramEnd"/>
    </w:p>
    <w:p w:rsidR="00D029E9" w:rsidRDefault="00D029E9" w:rsidP="00D0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9E9">
        <w:rPr>
          <w:rFonts w:ascii="Times New Roman" w:hAnsi="Times New Roman" w:cs="Times New Roman"/>
          <w:sz w:val="28"/>
          <w:szCs w:val="28"/>
        </w:rPr>
        <w:t xml:space="preserve">Учетная политика разработана в соответствии с требованиями </w:t>
      </w:r>
      <w:r w:rsidRPr="00D029E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0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proofErr w:type="gramStart"/>
        <w:r w:rsidRPr="00D029E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стандарт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D0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бухгалтерского учета для организаций государственного сектора "Учетная политика, оценочные значения </w:t>
      </w:r>
      <w:r w:rsidR="005C40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029E9">
        <w:rPr>
          <w:rFonts w:ascii="Times New Roman" w:hAnsi="Times New Roman" w:cs="Times New Roman"/>
          <w:color w:val="000000" w:themeColor="text1"/>
          <w:sz w:val="28"/>
          <w:szCs w:val="28"/>
        </w:rPr>
        <w:t>и ошибки", утвержденн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0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Минфина России от 30.12.2017 № 274н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иными нормативно-правовыми актами, регулирующими ведение бухгалтерского учета и составлени</w:t>
      </w:r>
      <w:r w:rsidR="005C40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бухгалтерской (финансовой) отчетности, с учетом особенностей структуры и деятельности </w:t>
      </w:r>
      <w:r w:rsidRPr="00D029E9">
        <w:rPr>
          <w:rFonts w:ascii="Times New Roman" w:hAnsi="Times New Roman" w:cs="Times New Roman"/>
          <w:color w:val="000000"/>
          <w:sz w:val="28"/>
          <w:szCs w:val="28"/>
        </w:rPr>
        <w:t>Министерства государственного имущества Республики Марий Эл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4015" w:rsidRDefault="005C4015" w:rsidP="00D0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29E9" w:rsidRDefault="00D029E9" w:rsidP="00D0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состав Учетной политики включены следующие разделы:</w:t>
      </w:r>
    </w:p>
    <w:p w:rsidR="00AC02F4" w:rsidRPr="00AC02F4" w:rsidRDefault="00AC02F4" w:rsidP="00D0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29E9" w:rsidRPr="00AC02F4" w:rsidRDefault="00D029E9" w:rsidP="00AC02F4">
      <w:pPr>
        <w:pStyle w:val="1"/>
        <w:numPr>
          <w:ilvl w:val="0"/>
          <w:numId w:val="3"/>
        </w:numPr>
        <w:spacing w:before="0" w:after="0" w:line="240" w:lineRule="auto"/>
        <w:ind w:firstLine="709"/>
        <w:contextualSpacing/>
        <w:jc w:val="left"/>
        <w:rPr>
          <w:b w:val="0"/>
          <w:sz w:val="28"/>
        </w:rPr>
      </w:pPr>
      <w:bookmarkStart w:id="0" w:name="_ref_15921"/>
      <w:r w:rsidRPr="00AC02F4">
        <w:rPr>
          <w:b w:val="0"/>
          <w:sz w:val="28"/>
        </w:rPr>
        <w:t>Организационные положения</w:t>
      </w:r>
      <w:bookmarkEnd w:id="0"/>
    </w:p>
    <w:p w:rsidR="00D029E9" w:rsidRPr="00AC02F4" w:rsidRDefault="00D029E9" w:rsidP="00AC02F4">
      <w:pPr>
        <w:pStyle w:val="1"/>
        <w:spacing w:before="0" w:after="0" w:line="240" w:lineRule="auto"/>
        <w:ind w:firstLine="709"/>
        <w:contextualSpacing/>
        <w:jc w:val="left"/>
        <w:rPr>
          <w:b w:val="0"/>
          <w:color w:val="000000" w:themeColor="text1"/>
          <w:sz w:val="28"/>
        </w:rPr>
      </w:pPr>
      <w:bookmarkStart w:id="1" w:name="_ref_15958"/>
      <w:r w:rsidRPr="00AC02F4">
        <w:rPr>
          <w:b w:val="0"/>
          <w:color w:val="000000" w:themeColor="text1"/>
          <w:sz w:val="28"/>
        </w:rPr>
        <w:t>Основные средства</w:t>
      </w:r>
      <w:bookmarkEnd w:id="1"/>
    </w:p>
    <w:p w:rsidR="00D029E9" w:rsidRPr="00AC02F4" w:rsidRDefault="00D029E9" w:rsidP="00AC02F4">
      <w:pPr>
        <w:pStyle w:val="1"/>
        <w:spacing w:before="0" w:after="0" w:line="240" w:lineRule="auto"/>
        <w:ind w:firstLine="709"/>
        <w:contextualSpacing/>
        <w:jc w:val="left"/>
        <w:rPr>
          <w:b w:val="0"/>
          <w:color w:val="000000" w:themeColor="text1"/>
          <w:sz w:val="28"/>
        </w:rPr>
      </w:pPr>
      <w:bookmarkStart w:id="2" w:name="_ref_15995"/>
      <w:bookmarkStart w:id="3" w:name="_ref_775263"/>
      <w:r w:rsidRPr="00AC02F4">
        <w:rPr>
          <w:b w:val="0"/>
          <w:color w:val="000000" w:themeColor="text1"/>
          <w:sz w:val="28"/>
        </w:rPr>
        <w:t>Материальные запасы</w:t>
      </w:r>
      <w:bookmarkEnd w:id="2"/>
    </w:p>
    <w:p w:rsidR="00D029E9" w:rsidRPr="00AC02F4" w:rsidRDefault="00D029E9" w:rsidP="00AC02F4">
      <w:pPr>
        <w:pStyle w:val="1"/>
        <w:spacing w:before="0" w:after="0" w:line="240" w:lineRule="auto"/>
        <w:ind w:firstLine="709"/>
        <w:contextualSpacing/>
        <w:jc w:val="left"/>
        <w:rPr>
          <w:b w:val="0"/>
          <w:color w:val="000000" w:themeColor="text1"/>
          <w:sz w:val="28"/>
        </w:rPr>
      </w:pPr>
      <w:r w:rsidRPr="00AC02F4">
        <w:rPr>
          <w:b w:val="0"/>
          <w:color w:val="000000" w:themeColor="text1"/>
          <w:sz w:val="28"/>
        </w:rPr>
        <w:t>Нематериальные активы</w:t>
      </w:r>
      <w:bookmarkEnd w:id="3"/>
    </w:p>
    <w:p w:rsidR="00AC02F4" w:rsidRPr="00AC02F4" w:rsidRDefault="00D029E9" w:rsidP="00AC02F4">
      <w:pPr>
        <w:pStyle w:val="1"/>
        <w:spacing w:before="0" w:after="0" w:line="240" w:lineRule="auto"/>
        <w:ind w:firstLine="709"/>
        <w:contextualSpacing/>
        <w:jc w:val="left"/>
        <w:rPr>
          <w:b w:val="0"/>
          <w:color w:val="000000" w:themeColor="text1"/>
          <w:sz w:val="28"/>
        </w:rPr>
      </w:pPr>
      <w:bookmarkStart w:id="4" w:name="_ref_16032"/>
      <w:r w:rsidRPr="00AC02F4">
        <w:rPr>
          <w:b w:val="0"/>
          <w:color w:val="000000" w:themeColor="text1"/>
          <w:sz w:val="28"/>
        </w:rPr>
        <w:t>Нефинансовые объекты казны</w:t>
      </w:r>
      <w:bookmarkEnd w:id="4"/>
      <w:r w:rsidR="00AC02F4" w:rsidRPr="00AC02F4">
        <w:rPr>
          <w:b w:val="0"/>
          <w:color w:val="000000" w:themeColor="text1"/>
          <w:sz w:val="28"/>
        </w:rPr>
        <w:t xml:space="preserve"> </w:t>
      </w:r>
    </w:p>
    <w:p w:rsidR="00AC02F4" w:rsidRPr="00AC02F4" w:rsidRDefault="00AC02F4" w:rsidP="00AC02F4">
      <w:pPr>
        <w:pStyle w:val="1"/>
        <w:spacing w:before="0" w:after="0" w:line="240" w:lineRule="auto"/>
        <w:ind w:firstLine="709"/>
        <w:contextualSpacing/>
        <w:jc w:val="left"/>
        <w:rPr>
          <w:b w:val="0"/>
          <w:color w:val="000000" w:themeColor="text1"/>
          <w:sz w:val="28"/>
        </w:rPr>
      </w:pPr>
      <w:r w:rsidRPr="00AC02F4">
        <w:rPr>
          <w:b w:val="0"/>
          <w:color w:val="000000" w:themeColor="text1"/>
          <w:sz w:val="28"/>
        </w:rPr>
        <w:t>Денежные средства, денежные эквиваленты и денежные документы</w:t>
      </w:r>
      <w:bookmarkStart w:id="5" w:name="_ref_16143"/>
      <w:r w:rsidRPr="00AC02F4">
        <w:rPr>
          <w:b w:val="0"/>
          <w:color w:val="000000" w:themeColor="text1"/>
          <w:sz w:val="28"/>
        </w:rPr>
        <w:t xml:space="preserve"> </w:t>
      </w:r>
      <w:r w:rsidRPr="00AC02F4">
        <w:rPr>
          <w:b w:val="0"/>
          <w:color w:val="000000" w:themeColor="text1"/>
          <w:sz w:val="28"/>
        </w:rPr>
        <w:br/>
        <w:t xml:space="preserve">        </w:t>
      </w:r>
      <w:r w:rsidR="001C4DE1">
        <w:rPr>
          <w:b w:val="0"/>
          <w:color w:val="000000" w:themeColor="text1"/>
          <w:sz w:val="28"/>
        </w:rPr>
        <w:t xml:space="preserve"> </w:t>
      </w:r>
      <w:r w:rsidRPr="00AC02F4">
        <w:rPr>
          <w:b w:val="0"/>
          <w:color w:val="000000" w:themeColor="text1"/>
          <w:sz w:val="28"/>
        </w:rPr>
        <w:t xml:space="preserve"> 7. Финансовые вложения</w:t>
      </w:r>
    </w:p>
    <w:p w:rsidR="00AC02F4" w:rsidRPr="00AC02F4" w:rsidRDefault="00AC02F4" w:rsidP="00AC02F4">
      <w:pPr>
        <w:pStyle w:val="1"/>
        <w:numPr>
          <w:ilvl w:val="0"/>
          <w:numId w:val="4"/>
        </w:numPr>
        <w:spacing w:before="0" w:after="0" w:line="240" w:lineRule="auto"/>
        <w:ind w:firstLine="709"/>
        <w:contextualSpacing/>
        <w:jc w:val="left"/>
        <w:rPr>
          <w:b w:val="0"/>
          <w:color w:val="000000" w:themeColor="text1"/>
          <w:sz w:val="28"/>
        </w:rPr>
      </w:pPr>
      <w:bookmarkStart w:id="6" w:name="_ref_16254"/>
      <w:bookmarkEnd w:id="5"/>
      <w:r w:rsidRPr="00AC02F4">
        <w:rPr>
          <w:b w:val="0"/>
          <w:color w:val="000000" w:themeColor="text1"/>
          <w:sz w:val="28"/>
        </w:rPr>
        <w:t>Расчеты с дебиторами и кредиторами</w:t>
      </w:r>
      <w:bookmarkEnd w:id="6"/>
    </w:p>
    <w:p w:rsidR="00AC02F4" w:rsidRPr="00AC02F4" w:rsidRDefault="00AC02F4" w:rsidP="00AC02F4">
      <w:pPr>
        <w:pStyle w:val="1"/>
        <w:spacing w:before="0" w:after="0" w:line="240" w:lineRule="auto"/>
        <w:ind w:firstLine="709"/>
        <w:contextualSpacing/>
        <w:jc w:val="left"/>
        <w:rPr>
          <w:b w:val="0"/>
          <w:color w:val="000000" w:themeColor="text1"/>
          <w:sz w:val="28"/>
        </w:rPr>
      </w:pPr>
      <w:bookmarkStart w:id="7" w:name="_ref_16291"/>
      <w:r w:rsidRPr="00AC02F4">
        <w:rPr>
          <w:b w:val="0"/>
          <w:color w:val="000000" w:themeColor="text1"/>
          <w:sz w:val="28"/>
        </w:rPr>
        <w:t>Финансовый результат</w:t>
      </w:r>
      <w:bookmarkEnd w:id="7"/>
    </w:p>
    <w:p w:rsidR="00AC02F4" w:rsidRPr="00AC02F4" w:rsidRDefault="00AC02F4" w:rsidP="00AC02F4">
      <w:pPr>
        <w:pStyle w:val="1"/>
        <w:spacing w:before="0" w:after="0" w:line="240" w:lineRule="auto"/>
        <w:ind w:firstLine="709"/>
        <w:contextualSpacing/>
        <w:jc w:val="both"/>
        <w:rPr>
          <w:b w:val="0"/>
          <w:color w:val="000000" w:themeColor="text1"/>
          <w:sz w:val="28"/>
        </w:rPr>
      </w:pPr>
      <w:bookmarkStart w:id="8" w:name="_ref_16328"/>
      <w:r w:rsidRPr="00AC02F4">
        <w:rPr>
          <w:b w:val="0"/>
          <w:color w:val="000000" w:themeColor="text1"/>
          <w:sz w:val="28"/>
        </w:rPr>
        <w:t>Администрирование доходов, источников финансирования дефицита бюджета</w:t>
      </w:r>
      <w:bookmarkEnd w:id="8"/>
    </w:p>
    <w:p w:rsidR="00AC02F4" w:rsidRPr="00AC02F4" w:rsidRDefault="00AC02F4" w:rsidP="00AC02F4">
      <w:pPr>
        <w:pStyle w:val="1"/>
        <w:spacing w:before="0" w:after="0" w:line="240" w:lineRule="auto"/>
        <w:ind w:firstLine="709"/>
        <w:contextualSpacing/>
        <w:jc w:val="left"/>
        <w:rPr>
          <w:b w:val="0"/>
          <w:color w:val="000000" w:themeColor="text1"/>
          <w:sz w:val="28"/>
        </w:rPr>
      </w:pPr>
      <w:bookmarkStart w:id="9" w:name="_ref_16365"/>
      <w:r w:rsidRPr="00AC02F4">
        <w:rPr>
          <w:b w:val="0"/>
          <w:color w:val="000000" w:themeColor="text1"/>
          <w:sz w:val="28"/>
        </w:rPr>
        <w:t>Санкционирование расходов</w:t>
      </w:r>
      <w:bookmarkEnd w:id="9"/>
    </w:p>
    <w:p w:rsidR="00AC02F4" w:rsidRPr="00AC02F4" w:rsidRDefault="00AC02F4" w:rsidP="00AC02F4">
      <w:pPr>
        <w:pStyle w:val="1"/>
        <w:spacing w:before="0" w:after="0" w:line="240" w:lineRule="auto"/>
        <w:ind w:firstLine="709"/>
        <w:contextualSpacing/>
        <w:jc w:val="left"/>
        <w:rPr>
          <w:b w:val="0"/>
          <w:color w:val="000000" w:themeColor="text1"/>
          <w:sz w:val="28"/>
        </w:rPr>
      </w:pPr>
      <w:bookmarkStart w:id="10" w:name="_ref_16402"/>
      <w:r w:rsidRPr="00AC02F4">
        <w:rPr>
          <w:b w:val="0"/>
          <w:color w:val="000000" w:themeColor="text1"/>
          <w:sz w:val="28"/>
        </w:rPr>
        <w:t>Обесценение активов</w:t>
      </w:r>
      <w:bookmarkEnd w:id="10"/>
    </w:p>
    <w:p w:rsidR="00AC02F4" w:rsidRPr="00AC02F4" w:rsidRDefault="00AC02F4" w:rsidP="00AC02F4">
      <w:pPr>
        <w:pStyle w:val="1"/>
        <w:spacing w:before="0" w:after="0" w:line="240" w:lineRule="auto"/>
        <w:ind w:firstLine="709"/>
        <w:contextualSpacing/>
        <w:jc w:val="left"/>
        <w:rPr>
          <w:b w:val="0"/>
          <w:color w:val="000000" w:themeColor="text1"/>
          <w:sz w:val="28"/>
        </w:rPr>
      </w:pPr>
      <w:bookmarkStart w:id="11" w:name="_ref_16439"/>
      <w:proofErr w:type="spellStart"/>
      <w:r w:rsidRPr="00AC02F4">
        <w:rPr>
          <w:b w:val="0"/>
          <w:color w:val="000000" w:themeColor="text1"/>
          <w:sz w:val="28"/>
        </w:rPr>
        <w:t>Забалансовый</w:t>
      </w:r>
      <w:proofErr w:type="spellEnd"/>
      <w:r w:rsidRPr="00AC02F4">
        <w:rPr>
          <w:b w:val="0"/>
          <w:color w:val="000000" w:themeColor="text1"/>
          <w:sz w:val="28"/>
        </w:rPr>
        <w:t xml:space="preserve"> учет</w:t>
      </w:r>
      <w:bookmarkEnd w:id="11"/>
    </w:p>
    <w:p w:rsidR="00AC02F4" w:rsidRDefault="00AC02F4" w:rsidP="00AC02F4">
      <w:pPr>
        <w:pStyle w:val="1"/>
        <w:spacing w:before="0" w:after="0" w:line="240" w:lineRule="auto"/>
        <w:ind w:firstLine="709"/>
        <w:contextualSpacing/>
        <w:jc w:val="left"/>
        <w:rPr>
          <w:b w:val="0"/>
          <w:color w:val="000000" w:themeColor="text1"/>
          <w:sz w:val="28"/>
        </w:rPr>
      </w:pPr>
      <w:r w:rsidRPr="00AC02F4">
        <w:rPr>
          <w:b w:val="0"/>
          <w:color w:val="000000" w:themeColor="text1"/>
          <w:sz w:val="28"/>
        </w:rPr>
        <w:t>Налог на добавленную стоимость</w:t>
      </w:r>
    </w:p>
    <w:p w:rsidR="00AC02F4" w:rsidRPr="00AC02F4" w:rsidRDefault="00AC02F4" w:rsidP="00AC02F4">
      <w:pPr>
        <w:spacing w:after="0" w:line="240" w:lineRule="auto"/>
        <w:contextualSpacing/>
      </w:pPr>
    </w:p>
    <w:p w:rsidR="00AC02F4" w:rsidRDefault="00B32BCE" w:rsidP="00AC02F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02F4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C02F4">
        <w:rPr>
          <w:rFonts w:ascii="Times New Roman" w:hAnsi="Times New Roman" w:cs="Times New Roman"/>
          <w:sz w:val="28"/>
          <w:szCs w:val="28"/>
        </w:rPr>
        <w:t xml:space="preserve"> к Учетной политик</w:t>
      </w:r>
      <w:r w:rsidR="005C4015">
        <w:rPr>
          <w:rFonts w:ascii="Times New Roman" w:hAnsi="Times New Roman" w:cs="Times New Roman"/>
          <w:sz w:val="28"/>
          <w:szCs w:val="28"/>
        </w:rPr>
        <w:t>е</w:t>
      </w:r>
      <w:r w:rsidR="00AC02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02F4" w:rsidRDefault="00AC02F4" w:rsidP="00AC02F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C02F4" w:rsidRPr="00AC02F4" w:rsidRDefault="00AC02F4" w:rsidP="00AC02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C02F4">
        <w:rPr>
          <w:rFonts w:ascii="Times New Roman" w:hAnsi="Times New Roman" w:cs="Times New Roman"/>
          <w:sz w:val="28"/>
          <w:szCs w:val="28"/>
        </w:rPr>
        <w:t>Рабочий план счетов бюджетного учета</w:t>
      </w:r>
    </w:p>
    <w:p w:rsidR="00AC02F4" w:rsidRDefault="00AC02F4" w:rsidP="005C4015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Правила и график документооборота, а также технология обработки учетной информации</w:t>
      </w:r>
    </w:p>
    <w:p w:rsidR="00AC02F4" w:rsidRDefault="00FA5B0B" w:rsidP="00AC02F4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02F4">
        <w:rPr>
          <w:rFonts w:ascii="Times New Roman" w:hAnsi="Times New Roman" w:cs="Times New Roman"/>
          <w:sz w:val="28"/>
          <w:szCs w:val="28"/>
        </w:rPr>
        <w:t>. П</w:t>
      </w:r>
      <w:r w:rsidR="005C4015">
        <w:rPr>
          <w:rFonts w:ascii="Times New Roman" w:hAnsi="Times New Roman" w:cs="Times New Roman"/>
          <w:sz w:val="28"/>
          <w:szCs w:val="28"/>
        </w:rPr>
        <w:t>оложение о комиссии по поступлению и выбытию активов</w:t>
      </w:r>
    </w:p>
    <w:p w:rsidR="005C4015" w:rsidRDefault="00FA5B0B" w:rsidP="00AC02F4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C4015">
        <w:rPr>
          <w:rFonts w:ascii="Times New Roman" w:hAnsi="Times New Roman" w:cs="Times New Roman"/>
          <w:sz w:val="28"/>
          <w:szCs w:val="28"/>
        </w:rPr>
        <w:t>. Порядок проведения инвентаризации активов и обязательств</w:t>
      </w:r>
    </w:p>
    <w:p w:rsidR="005C4015" w:rsidRDefault="00FA5B0B" w:rsidP="005C401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4015">
        <w:rPr>
          <w:rFonts w:ascii="Times New Roman" w:hAnsi="Times New Roman" w:cs="Times New Roman"/>
          <w:sz w:val="28"/>
          <w:szCs w:val="28"/>
        </w:rPr>
        <w:t>. Порядок выдачи денежных средств, составления и представления отчетов подотчетными лицами</w:t>
      </w:r>
    </w:p>
    <w:p w:rsidR="005C4015" w:rsidRDefault="00FA5B0B" w:rsidP="005C401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4015">
        <w:rPr>
          <w:rFonts w:ascii="Times New Roman" w:hAnsi="Times New Roman" w:cs="Times New Roman"/>
          <w:sz w:val="28"/>
          <w:szCs w:val="28"/>
        </w:rPr>
        <w:t>.</w:t>
      </w:r>
      <w:r w:rsidR="001C4DE1">
        <w:rPr>
          <w:rFonts w:ascii="Times New Roman" w:hAnsi="Times New Roman" w:cs="Times New Roman"/>
          <w:sz w:val="28"/>
          <w:szCs w:val="28"/>
        </w:rPr>
        <w:t> </w:t>
      </w:r>
      <w:r w:rsidR="005C4015">
        <w:rPr>
          <w:rFonts w:ascii="Times New Roman" w:hAnsi="Times New Roman" w:cs="Times New Roman"/>
          <w:sz w:val="28"/>
          <w:szCs w:val="28"/>
        </w:rPr>
        <w:t>Порядок выдачи под отчет денежных документов, составления и представления отчетов подотчетными лицами</w:t>
      </w:r>
    </w:p>
    <w:p w:rsidR="005C4015" w:rsidRDefault="00FA5B0B" w:rsidP="005C401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4015">
        <w:rPr>
          <w:rFonts w:ascii="Times New Roman" w:hAnsi="Times New Roman" w:cs="Times New Roman"/>
          <w:sz w:val="28"/>
          <w:szCs w:val="28"/>
        </w:rPr>
        <w:t>. Порядок приемки, хранения, выдачи и списания бланков строгой отчетности</w:t>
      </w:r>
    </w:p>
    <w:p w:rsidR="005C4015" w:rsidRDefault="00FA5B0B" w:rsidP="005C401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4015">
        <w:rPr>
          <w:rFonts w:ascii="Times New Roman" w:hAnsi="Times New Roman" w:cs="Times New Roman"/>
          <w:sz w:val="28"/>
          <w:szCs w:val="28"/>
        </w:rPr>
        <w:t>. Порядок формирования и использования резервов предстоящих расходов</w:t>
      </w:r>
    </w:p>
    <w:p w:rsidR="005C4015" w:rsidRDefault="00FA5B0B" w:rsidP="005C401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4015">
        <w:rPr>
          <w:rFonts w:ascii="Times New Roman" w:hAnsi="Times New Roman" w:cs="Times New Roman"/>
          <w:sz w:val="28"/>
          <w:szCs w:val="28"/>
        </w:rPr>
        <w:t>. Самостоятельно разработанные формы первичных учетных документов.</w:t>
      </w:r>
    </w:p>
    <w:p w:rsidR="005C4015" w:rsidRPr="00AC02F4" w:rsidRDefault="005C4015" w:rsidP="005C4015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</w:p>
    <w:sectPr w:rsidR="005C4015" w:rsidRPr="00AC02F4" w:rsidSect="00BA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7A85"/>
    <w:multiLevelType w:val="hybridMultilevel"/>
    <w:tmpl w:val="431E55B6"/>
    <w:lvl w:ilvl="0" w:tplc="8D72BC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3F770A"/>
    <w:multiLevelType w:val="multilevel"/>
    <w:tmpl w:val="80B666D0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sz w:val="24"/>
        <w:szCs w:val="24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">
    <w:nsid w:val="69A10263"/>
    <w:multiLevelType w:val="hybridMultilevel"/>
    <w:tmpl w:val="43D00F84"/>
    <w:lvl w:ilvl="0" w:tplc="4D4CD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9E9"/>
    <w:rsid w:val="001C4DE1"/>
    <w:rsid w:val="00401C77"/>
    <w:rsid w:val="005C4015"/>
    <w:rsid w:val="00AC02F4"/>
    <w:rsid w:val="00B32BCE"/>
    <w:rsid w:val="00BA1FAE"/>
    <w:rsid w:val="00D029E9"/>
    <w:rsid w:val="00D41873"/>
    <w:rsid w:val="00FA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AE"/>
  </w:style>
  <w:style w:type="paragraph" w:styleId="1">
    <w:name w:val="heading 1"/>
    <w:basedOn w:val="a"/>
    <w:next w:val="a"/>
    <w:link w:val="10"/>
    <w:uiPriority w:val="9"/>
    <w:qFormat/>
    <w:rsid w:val="00D029E9"/>
    <w:pPr>
      <w:keepNext/>
      <w:keepLines/>
      <w:numPr>
        <w:numId w:val="2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29E9"/>
    <w:pPr>
      <w:numPr>
        <w:ilvl w:val="1"/>
        <w:numId w:val="2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D029E9"/>
    <w:pPr>
      <w:numPr>
        <w:ilvl w:val="2"/>
        <w:numId w:val="2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D029E9"/>
    <w:pPr>
      <w:numPr>
        <w:ilvl w:val="3"/>
        <w:numId w:val="2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D029E9"/>
    <w:pPr>
      <w:keepNext/>
      <w:keepLines/>
      <w:numPr>
        <w:ilvl w:val="4"/>
        <w:numId w:val="2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qFormat/>
    <w:rsid w:val="00D029E9"/>
    <w:pPr>
      <w:keepNext/>
      <w:keepLines/>
      <w:numPr>
        <w:ilvl w:val="5"/>
        <w:numId w:val="2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D029E9"/>
    <w:pPr>
      <w:keepNext/>
      <w:keepLines/>
      <w:numPr>
        <w:ilvl w:val="6"/>
        <w:numId w:val="2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029E9"/>
    <w:pPr>
      <w:keepNext/>
      <w:keepLines/>
      <w:numPr>
        <w:ilvl w:val="7"/>
        <w:numId w:val="2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D029E9"/>
    <w:pPr>
      <w:keepNext/>
      <w:keepLines/>
      <w:numPr>
        <w:ilvl w:val="8"/>
        <w:numId w:val="2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D029E9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D029E9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5">
    <w:name w:val="Hyperlink"/>
    <w:unhideWhenUsed/>
    <w:rsid w:val="00D029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29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29E9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D029E9"/>
    <w:rPr>
      <w:rFonts w:ascii="Times New Roman" w:eastAsia="Times New Roman" w:hAnsi="Times New Roman" w:cs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D029E9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rsid w:val="00D029E9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rsid w:val="00D029E9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rsid w:val="00D029E9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D029E9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D029E9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rsid w:val="00D029E9"/>
    <w:rPr>
      <w:rFonts w:ascii="Times New Roman" w:eastAsia="Times New Roman" w:hAnsi="Times New Roman" w:cs="Times New Roman"/>
      <w:i/>
      <w:iCs/>
      <w:color w:val="404040"/>
      <w:szCs w:val="20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uiPriority w:val="9"/>
    <w:qFormat/>
    <w:rsid w:val="00D029E9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A106A16F1F3744AE35F6AEFF055B24" ma:contentTypeVersion="2" ma:contentTypeDescription="Создание документа." ma:contentTypeScope="" ma:versionID="0cbc982a51802aa96957c86976e83b42">
  <xsd:schema xmlns:xsd="http://www.w3.org/2001/XMLSchema" xmlns:xs="http://www.w3.org/2001/XMLSchema" xmlns:p="http://schemas.microsoft.com/office/2006/metadata/properties" xmlns:ns2="57504d04-691e-4fc4-8f09-4f19fdbe90f6" xmlns:ns3="7cb3d553-6949-4d52-9fc2-2e81b75b8e66" targetNamespace="http://schemas.microsoft.com/office/2006/metadata/properties" ma:root="true" ma:fieldsID="385278c530b98453e659baa311ff8777" ns2:_="" ns3:_="">
    <xsd:import namespace="57504d04-691e-4fc4-8f09-4f19fdbe90f6"/>
    <xsd:import namespace="7cb3d553-6949-4d52-9fc2-2e81b75b8e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3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3d553-6949-4d52-9fc2-2e81b75b8e66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12" ma:displayName="Папка" ma:default="Государственная программа" ma:format="Dropdown" ma:internalName="_x041f__x0430__x043f__x043a__x0430_">
      <xsd:simpleType>
        <xsd:restriction base="dms:Choice">
          <xsd:enumeration value="Бюджетный учет и отчетность"/>
          <xsd:enumeration value="Государственная программа"/>
          <xsd:enumeration value="Планы рабо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7cb3d553-6949-4d52-9fc2-2e81b75b8e66" xsi:nil="true"/>
    <_x041f__x0430__x043f__x043a__x0430_ xmlns="7cb3d553-6949-4d52-9fc2-2e81b75b8e66">Бюджетный учет и отчетность</_x041f__x0430__x043f__x043a__x0430_>
    <_dlc_DocId xmlns="57504d04-691e-4fc4-8f09-4f19fdbe90f6">XXJ7TYMEEKJ2-93-38</_dlc_DocId>
    <_dlc_DocIdUrl xmlns="57504d04-691e-4fc4-8f09-4f19fdbe90f6">
      <Url>https://vip.gov.mari.ru/mingosim/_layouts/DocIdRedir.aspx?ID=XXJ7TYMEEKJ2-93-38</Url>
      <Description>XXJ7TYMEEKJ2-93-38</Description>
    </_dlc_DocIdUrl>
  </documentManagement>
</p:properties>
</file>

<file path=customXml/itemProps1.xml><?xml version="1.0" encoding="utf-8"?>
<ds:datastoreItem xmlns:ds="http://schemas.openxmlformats.org/officeDocument/2006/customXml" ds:itemID="{DA79CC53-5853-4BD5-8D28-3AF5E11BB61A}"/>
</file>

<file path=customXml/itemProps2.xml><?xml version="1.0" encoding="utf-8"?>
<ds:datastoreItem xmlns:ds="http://schemas.openxmlformats.org/officeDocument/2006/customXml" ds:itemID="{33171E85-D5DE-459C-8BB4-65D93CA154CE}"/>
</file>

<file path=customXml/itemProps3.xml><?xml version="1.0" encoding="utf-8"?>
<ds:datastoreItem xmlns:ds="http://schemas.openxmlformats.org/officeDocument/2006/customXml" ds:itemID="{7E5CF04C-263F-4F0E-B17E-EE5EB3BD82EC}"/>
</file>

<file path=customXml/itemProps4.xml><?xml version="1.0" encoding="utf-8"?>
<ds:datastoreItem xmlns:ds="http://schemas.openxmlformats.org/officeDocument/2006/customXml" ds:itemID="{8107E1E7-416E-4C4C-B16E-FD176954A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</dc:title>
  <dc:subject/>
  <dc:creator>Мирошина</dc:creator>
  <cp:keywords/>
  <dc:description/>
  <cp:lastModifiedBy>Бухгалтерия</cp:lastModifiedBy>
  <cp:revision>4</cp:revision>
  <dcterms:created xsi:type="dcterms:W3CDTF">2019-02-05T07:20:00Z</dcterms:created>
  <dcterms:modified xsi:type="dcterms:W3CDTF">2019-02-05T07:32:00Z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0x010100F5A106A16F1F3744AE35F6AEFF055B24</vt:lpwstr>
  </property>
  <property fmtid="{D5CDD505-2E9C-101B-9397-08002B2CF9AE}" pid="3" name="_dlc_DocIdItemGuid">
    <vt:lpwstr>2a7a7aaf-ace4-47bb-96c4-c1dad0a20308</vt:lpwstr>
  </property>
</Properties>
</file>