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Карта комплаенс - рисков Комитета гражданской обороны </w:t>
        <w:br/>
        <w:t>и защиты населения Республики Марий Эл на период 202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-202</w:t>
      </w: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годов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709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59"/>
        <w:gridCol w:w="2577"/>
        <w:gridCol w:w="4536"/>
        <w:gridCol w:w="3542"/>
        <w:gridCol w:w="2695"/>
      </w:tblGrid>
      <w:tr>
        <w:trPr/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Вид риска (описание)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Причины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возникновения (описание)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Вероятность повторного возникновения рисков</w:t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709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59"/>
        <w:gridCol w:w="2577"/>
        <w:gridCol w:w="4536"/>
        <w:gridCol w:w="3542"/>
        <w:gridCol w:w="2695"/>
      </w:tblGrid>
      <w:tr>
        <w:trPr>
          <w:tblHeader w:val="true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>
        <w:trPr>
          <w:trHeight w:val="320" w:hRule="atLeast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Отдел предупреждения чрезвычайных ситуаций и обеспечения пожарной безопасности</w:t>
            </w:r>
          </w:p>
        </w:tc>
      </w:tr>
      <w:tr>
        <w:trPr>
          <w:trHeight w:val="320" w:hRule="atLeast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Низкий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Правоприменительная практика, противоречащая требованиям антимонопольного законодательства при осуществлении контрольно-надзорных функций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 Отсутствие достаточной квалификации (недостаточная подготовленность) служащего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 Чрезмерная загруженность служащего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 Мониторинг применения административных регламентов;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 Подготовка изменений</w:t>
              <w:br/>
              <w:t>в действующие административные регламенты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Отсутствует</w:t>
            </w:r>
          </w:p>
        </w:tc>
      </w:tr>
      <w:tr>
        <w:trPr>
          <w:trHeight w:val="320" w:hRule="atLeast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Низкий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Истребование документов, непредусмотренных НПА, создание дискриминационных или преимущественных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условий при осуществлении контрольно-надзорной деятельности, проведение проверок, заключении соглашений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 Неоднозначность толкования формулировок законодательства</w:t>
              <w:br/>
              <w:t>и нормативных правовых актов;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 Формирование документов</w:t>
              <w:br/>
              <w:t xml:space="preserve"> с нарушением законодательства</w:t>
              <w:br/>
              <w:t>и нормативных правовых актов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 Повышение квалификации сотрудников;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 Усиление контроля за порядком проведения контрольно-надзорной деятельности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Отсутствует</w:t>
            </w:r>
          </w:p>
        </w:tc>
      </w:tr>
      <w:tr>
        <w:trPr>
          <w:trHeight w:val="320" w:hRule="atLeast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Отдел мероприятий гражданской обороны, защиты населения и территориального взаимодействия</w:t>
            </w:r>
          </w:p>
        </w:tc>
      </w:tr>
      <w:tr>
        <w:trPr>
          <w:trHeight w:val="320" w:hRule="atLeast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Низкий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уровень риска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Отказ </w:t>
              <w:br/>
              <w:t>в предоставлении государственной услуги по основаниям, не предусмотренным административным регламентом предоставления государственной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 Неполная либо искаженная информация от заявителя;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 Ошибочный анализ информации (документов);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 Неоднозначность толкования формулировок законодательства</w:t>
              <w:br/>
              <w:t>и нормативных правовых актов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1) Обучение служащих, осуществляющих функцию </w:t>
              <w:br/>
              <w:t>по предоставлению государственной услуги;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 Осуществление текущего контроля предоставления государственных услуг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Отсутствует</w:t>
            </w:r>
          </w:p>
        </w:tc>
      </w:tr>
      <w:tr>
        <w:trPr>
          <w:trHeight w:val="320" w:hRule="atLeast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Низкий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Нарушение административного регламента предоставления государственной услуги, которое приводит или может привести </w:t>
              <w:br/>
              <w:t>к недопущению, ограничению или устранению конкуренции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 Ослабление контроля за процедурой предоставления государственной услуги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 Осуществление текущего контроля предоставления государственных услуг;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Совершенствование механизмов контроля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Отсутствует</w:t>
            </w:r>
          </w:p>
        </w:tc>
      </w:tr>
      <w:tr>
        <w:trPr>
          <w:trHeight w:val="320" w:hRule="atLeast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Низкий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Истребование документов, непредусмотренных НПА, создание дискриминационных или преимущественных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условий при оказании государственной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 Неоднозначность толкования формулировок законодательства</w:t>
              <w:br/>
              <w:t>и нормативных правовых актов;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2) Формирование документов </w:t>
              <w:br/>
              <w:t>с нарушением законодательства</w:t>
              <w:br/>
              <w:t>и нормативных правовых актов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 Повышение квалификации сотрудников;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2) Усиление контроля </w:t>
              <w:br/>
              <w:t>за порядком оказания государственной услуги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Отсутствует</w:t>
            </w:r>
          </w:p>
        </w:tc>
      </w:tr>
      <w:tr>
        <w:trPr>
          <w:trHeight w:val="320" w:hRule="atLeast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Отдел инвестиционных программ, государственных закупок и материально-технического обеспечения</w:t>
            </w:r>
          </w:p>
        </w:tc>
      </w:tr>
      <w:tr>
        <w:trPr>
          <w:trHeight w:val="320" w:hRule="atLeast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Средний уровень риска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Излишне установленные требования </w:t>
              <w:br/>
              <w:t>к участникам закупки: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  <w:br/>
              <w:t xml:space="preserve">о предоставлении документов, </w:t>
              <w:br/>
              <w:t>не предусмотренных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законодательством Российской Федерации, нарушение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порядка проведения закупочных процедур (установление неправомерных сроков окончания подачи заявок участниками при публикациях извещений о закупках товаров, работ, услуг конкурентными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способами)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Частые изменения законодательства </w:t>
              <w:br/>
              <w:t>в сфере закупок товаров, работ, услуг для государственных нужд,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Постоянный мониторинг изменений действующего законодательства в сфере закупок товаров, работ, услуг для государственных нужд, повышение квалификации должностных лиц Комитета, ответственных за проведение закупок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Низкая вероятность</w:t>
            </w:r>
          </w:p>
        </w:tc>
      </w:tr>
      <w:tr>
        <w:trPr>
          <w:trHeight w:val="320" w:hRule="atLeast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Ведущий консультант (юрист)</w:t>
            </w:r>
          </w:p>
        </w:tc>
      </w:tr>
      <w:tr>
        <w:trPr>
          <w:trHeight w:val="320" w:hRule="atLeast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Низкий уровень риска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Некачественная</w:t>
              <w:br/>
              <w:t>правовая экспертиза проектов соглашений,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которая приводит или может привести </w:t>
              <w:br/>
              <w:t xml:space="preserve">к наличию </w:t>
              <w:br/>
              <w:t xml:space="preserve">в соглашений условий, исполнение которых способно привести </w:t>
              <w:br/>
              <w:t>к недопущению, ограничению, устранению конкуренции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 Ошибочное применение правовых норм;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 Изменение антимонопольного законодательства;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3) Недостаточный уровень знаний </w:t>
              <w:br/>
              <w:t>в области действующего антимонопольного законодательства;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 Чрезмерная загруженность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Соблюдение требований действующего антимонопольного законодательства</w:t>
              <w:br/>
              <w:t>при проведении правовой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экспертизы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Низкая вероятность</w:t>
            </w:r>
          </w:p>
        </w:tc>
      </w:tr>
      <w:tr>
        <w:trPr>
          <w:trHeight w:val="320" w:hRule="atLeast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Низкий уровень риска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Некачественная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правовая </w:t>
              <w:br/>
              <w:t>и антикоррупционная экспертиза проектов нормативных правовых актов,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которая приводит </w:t>
              <w:br/>
              <w:t xml:space="preserve">или может привести </w:t>
              <w:br/>
              <w:t xml:space="preserve">к наличию </w:t>
              <w:br/>
              <w:t xml:space="preserve">в нормативных правовых актах положений, ведущих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недопущению, ограничению, устранению конкуренции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 Ошибочное применение правовых норм;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 Изменение антимонопольного законодательства;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3) Недостаточный уровень знаний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области действующего антимонопольного законодательства;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 Чрезмерная загруженность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Соблюдение требований действующего антимонопольного законодательства</w:t>
              <w:br/>
              <w:t>при проведении правовой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антикоррупционной экспертизы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Низкая вероятность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tabs>
          <w:tab w:val="clear" w:pos="708"/>
          <w:tab w:val="left" w:pos="1290" w:leader="none"/>
        </w:tabs>
        <w:spacing w:before="0" w:after="160"/>
        <w:jc w:val="center"/>
        <w:rPr>
          <w:u w:val="single"/>
        </w:rPr>
      </w:pPr>
      <w:r>
        <w:rPr>
          <w:rFonts w:cs="Times New Roman" w:ascii="Times New Roman" w:hAnsi="Times New Roman"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709" w:top="766" w:footer="709" w:bottom="76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/>
    </w:pPr>
    <w:r>
      <w:rPr/>
    </w:r>
  </w:p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4</w:t>
    </w:r>
    <w:r>
      <w:rPr>
        <w:sz w:val="28"/>
        <w:szCs w:val="28"/>
        <w:rFonts w:cs="Times New Roman" w:ascii="Times New Roman" w:hAnsi="Times New Roman"/>
      </w:rPr>
      <w:fldChar w:fldCharType="end"/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2f3a"/>
    <w:pPr>
      <w:widowControl/>
      <w:suppressAutoHyphens w:val="true"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link w:val="Heading1Char"/>
    <w:uiPriority w:val="99"/>
    <w:qFormat/>
    <w:rsid w:val="006852f0"/>
    <w:pPr>
      <w:keepNext w:val="true"/>
      <w:spacing w:lineRule="auto" w:line="240" w:before="0" w:after="0"/>
      <w:ind w:left="432" w:hanging="432"/>
      <w:jc w:val="center"/>
      <w:outlineLvl w:val="0"/>
    </w:pPr>
    <w:rPr>
      <w:b/>
      <w:bCs/>
      <w:kern w:val="2"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6852f0"/>
    <w:rPr>
      <w:rFonts w:ascii="Times New Roman" w:hAnsi="Times New Roman" w:cs="Times New Roman"/>
      <w:b/>
      <w:bCs/>
      <w:kern w:val="2"/>
      <w:sz w:val="28"/>
      <w:szCs w:val="2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097e32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11f93"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11f93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99"/>
    <w:qFormat/>
    <w:rsid w:val="005c10f6"/>
    <w:pPr>
      <w:spacing w:lineRule="auto" w:line="276" w:before="0" w:after="200"/>
      <w:ind w:left="720" w:hanging="0"/>
    </w:pPr>
    <w:rPr/>
  </w:style>
  <w:style w:type="paragraph" w:styleId="11" w:customStyle="1">
    <w:name w:val="Без интервала1"/>
    <w:uiPriority w:val="99"/>
    <w:qFormat/>
    <w:rsid w:val="005c10f6"/>
    <w:pPr>
      <w:widowControl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097e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c52385"/>
    <w:pPr>
      <w:widowControl/>
      <w:bidi w:val="0"/>
      <w:spacing w:before="0" w:after="0"/>
      <w:jc w:val="left"/>
    </w:pPr>
    <w:rPr>
      <w:rFonts w:cs="Calibri" w:ascii="Calibri" w:hAnsi="Calibri" w:eastAsia="Calibri"/>
      <w:color w:val="000000"/>
      <w:kern w:val="0"/>
      <w:sz w:val="24"/>
      <w:szCs w:val="24"/>
      <w:lang w:eastAsia="en-US" w:val="ru-RU" w:bidi="ar-SA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HeaderChar"/>
    <w:uiPriority w:val="99"/>
    <w:rsid w:val="00511f9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FooterChar"/>
    <w:uiPriority w:val="99"/>
    <w:rsid w:val="00511f9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uiPriority w:val="99"/>
    <w:qFormat/>
    <w:rsid w:val="00712605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uiPriority w:val="99"/>
    <w:qFormat/>
    <w:rsid w:val="006852f0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NoSpacing">
    <w:name w:val="No Spacing"/>
    <w:uiPriority w:val="99"/>
    <w:qFormat/>
    <w:rsid w:val="006852f0"/>
    <w:pPr>
      <w:widowControl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32a44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Application>LibreOffice/6.4.7.2$Linux_X86_64 LibreOffice_project/40$Build-2</Application>
  <Pages>4</Pages>
  <Words>503</Words>
  <Characters>4444</Characters>
  <CharactersWithSpaces>4884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2021-05-11T08:59:00Z</dcterms:created>
  <dc:creator>Храмцов Михаил Юрьевич</dc:creator>
  <dc:description/>
  <dc:language>ru-RU</dc:language>
  <cp:lastModifiedBy/>
  <cp:lastPrinted>2021-05-19T10:39:00Z</cp:lastPrinted>
  <dcterms:modified xsi:type="dcterms:W3CDTF">2023-02-17T13:13:38Z</dcterms:modified>
  <cp:revision>9</cp:revision>
  <dc:subject/>
  <dc:title>Карта комплаенс – рисков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0x01010008D42B6367CB6944863C50341E463EFA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lc_DocId">
    <vt:lpwstr>XXJ7TYMEEKJ2-1955821173-10</vt:lpwstr>
  </property>
  <property fmtid="{D5CDD505-2E9C-101B-9397-08002B2CF9AE}" pid="10" name="_dlc_DocIdItemGuid">
    <vt:lpwstr>9b7b2cac-9112-4f48-bad3-a1d80fa3ddbe</vt:lpwstr>
  </property>
  <property fmtid="{D5CDD505-2E9C-101B-9397-08002B2CF9AE}" pid="11" name="_dlc_DocIdUrl">
    <vt:lpwstr>https://vip.gov.mari.ru/mecon/_layouts/DocIdRedir.aspx?ID=XXJ7TYMEEKJ2-1955821173-10, XXJ7TYMEEKJ2-1955821173-10</vt:lpwstr>
  </property>
  <property fmtid="{D5CDD505-2E9C-101B-9397-08002B2CF9AE}" pid="12" name="????????">
    <vt:lpwstr>на период 2021-2022 годов</vt:lpwstr>
  </property>
</Properties>
</file>