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13" w:rsidRDefault="00A51FB0" w:rsidP="00783E13">
      <w:pPr>
        <w:spacing w:after="0" w:line="240" w:lineRule="auto"/>
        <w:jc w:val="center"/>
      </w:pPr>
      <w:r>
        <w:t>ИНФОРМАЦИЯ</w:t>
      </w:r>
    </w:p>
    <w:p w:rsidR="00783E13" w:rsidRDefault="00A51FB0" w:rsidP="00783E13">
      <w:pPr>
        <w:spacing w:after="0" w:line="240" w:lineRule="auto"/>
        <w:jc w:val="center"/>
      </w:pPr>
      <w:r>
        <w:t xml:space="preserve">по исполнению Федерального закона </w:t>
      </w:r>
      <w:r w:rsidR="00783E13">
        <w:t xml:space="preserve">от 23.11.2009  № 261-ФЗ </w:t>
      </w:r>
      <w:r>
        <w:t xml:space="preserve"> </w:t>
      </w:r>
    </w:p>
    <w:p w:rsidR="00783E13" w:rsidRDefault="00A51FB0" w:rsidP="00783E13">
      <w:pPr>
        <w:spacing w:after="0" w:line="240" w:lineRule="auto"/>
        <w:jc w:val="center"/>
      </w:pPr>
      <w:r>
        <w:t xml:space="preserve">о правах и обязанностях физических лиц, о требованиях, предъявляемых </w:t>
      </w:r>
    </w:p>
    <w:p w:rsidR="00783E13" w:rsidRDefault="00A51FB0" w:rsidP="00783E13">
      <w:pPr>
        <w:spacing w:after="0" w:line="240" w:lineRule="auto"/>
        <w:jc w:val="center"/>
      </w:pPr>
      <w:r>
        <w:t xml:space="preserve">к собственникам жилых домов, собственниками помещений </w:t>
      </w:r>
    </w:p>
    <w:p w:rsidR="00A51FB0" w:rsidRDefault="00A51FB0" w:rsidP="00783E13">
      <w:pPr>
        <w:spacing w:after="0" w:line="240" w:lineRule="auto"/>
        <w:jc w:val="center"/>
      </w:pPr>
      <w:r>
        <w:t>в многоквартирных домах, лицам, ответственным за содержание многоквартирных домов, и об иных требованиях указанного выше Федерального закона</w:t>
      </w:r>
    </w:p>
    <w:p w:rsidR="00A51FB0" w:rsidRDefault="00A51FB0" w:rsidP="00783E13">
      <w:pPr>
        <w:spacing w:after="0" w:line="240" w:lineRule="auto"/>
        <w:jc w:val="center"/>
      </w:pPr>
    </w:p>
    <w:p w:rsidR="001247C5" w:rsidRDefault="001247C5" w:rsidP="00783E13">
      <w:pPr>
        <w:spacing w:after="0" w:line="240" w:lineRule="auto"/>
        <w:jc w:val="center"/>
      </w:pPr>
    </w:p>
    <w:p w:rsidR="001247C5" w:rsidRPr="00941109" w:rsidRDefault="001247C5" w:rsidP="001247C5">
      <w:pPr>
        <w:spacing w:after="0" w:line="240" w:lineRule="auto"/>
        <w:ind w:firstLine="709"/>
        <w:jc w:val="both"/>
        <w:rPr>
          <w:b/>
        </w:rPr>
      </w:pPr>
      <w:r w:rsidRPr="00941109">
        <w:rPr>
          <w:b/>
        </w:rPr>
        <w:t>Обязательна ли установка приборов учёта энергоресурсов?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941109" w:rsidRDefault="001247C5" w:rsidP="001247C5">
      <w:pPr>
        <w:spacing w:after="0" w:line="240" w:lineRule="auto"/>
        <w:ind w:firstLine="709"/>
        <w:jc w:val="both"/>
        <w:rPr>
          <w:b/>
        </w:rPr>
      </w:pPr>
      <w:r w:rsidRPr="00941109">
        <w:rPr>
          <w:b/>
        </w:rPr>
        <w:t>В какие сроки необходимо установить приборы учета энергоресурсов?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В соответствии с Федеральным законом от 23.11.2009 № 261-ФЗ до</w:t>
      </w:r>
      <w:r w:rsidR="00941109">
        <w:t> </w:t>
      </w:r>
      <w:r>
        <w:t>1</w:t>
      </w:r>
      <w:r w:rsidR="00941109">
        <w:t> </w:t>
      </w:r>
      <w:r>
        <w:t>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 xml:space="preserve">С 1 января 2012 г. вводимые в эксплуатацию и реконструируемые многоквартирные жилые дома должны оснащаться индивидуальными </w:t>
      </w:r>
      <w:proofErr w:type="spellStart"/>
      <w:r>
        <w:t>теплосчётчиками</w:t>
      </w:r>
      <w:proofErr w:type="spellEnd"/>
      <w:r>
        <w:t xml:space="preserve"> в квартирах. С момента принятия закона не допускается ввод в эксплуатацию зданий, строений, сооружений без оснащения их</w:t>
      </w:r>
      <w:r w:rsidR="00941109">
        <w:t> </w:t>
      </w:r>
      <w:r>
        <w:t>приборами учёта энергоресурсов и воды.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941109" w:rsidRDefault="001247C5" w:rsidP="001247C5">
      <w:pPr>
        <w:spacing w:after="0" w:line="240" w:lineRule="auto"/>
        <w:ind w:firstLine="709"/>
        <w:jc w:val="both"/>
        <w:rPr>
          <w:b/>
        </w:rPr>
      </w:pPr>
      <w:r w:rsidRPr="00941109">
        <w:rPr>
          <w:b/>
        </w:rPr>
        <w:t>Кто должен оплачивать установку приборов учёта?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</w:t>
      </w:r>
      <w:r w:rsidR="00941109">
        <w:t> </w:t>
      </w:r>
      <w:r>
        <w:t>установке приборов учёта ставке рефинансирования Центробанка РФ.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941109" w:rsidRDefault="001247C5" w:rsidP="001247C5">
      <w:pPr>
        <w:spacing w:after="0" w:line="240" w:lineRule="auto"/>
        <w:ind w:firstLine="709"/>
        <w:jc w:val="both"/>
        <w:rPr>
          <w:b/>
        </w:rPr>
      </w:pPr>
      <w:r w:rsidRPr="00941109">
        <w:rPr>
          <w:b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lastRenderedPageBreak/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распределяется между всеми собственниками квартир.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энергоснабжающей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722B5C" w:rsidRDefault="001247C5" w:rsidP="001247C5">
      <w:pPr>
        <w:spacing w:after="0" w:line="240" w:lineRule="auto"/>
        <w:ind w:firstLine="709"/>
        <w:jc w:val="both"/>
        <w:rPr>
          <w:b/>
        </w:rPr>
      </w:pPr>
      <w:r w:rsidRPr="00722B5C">
        <w:rPr>
          <w:b/>
        </w:rPr>
        <w:t>Какую выгоду получит потребитель при установке прибора учета?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F82D29" w:rsidRDefault="001247C5" w:rsidP="001247C5">
      <w:pPr>
        <w:spacing w:after="0" w:line="240" w:lineRule="auto"/>
        <w:ind w:firstLine="709"/>
        <w:jc w:val="both"/>
        <w:rPr>
          <w:b/>
        </w:rPr>
      </w:pPr>
      <w:r w:rsidRPr="00F82D29">
        <w:rPr>
          <w:b/>
        </w:rPr>
        <w:t>Есть ли исключения из требований по установке приборов учета?</w:t>
      </w:r>
    </w:p>
    <w:p w:rsidR="00F82D29" w:rsidRPr="00F82D29" w:rsidRDefault="001247C5" w:rsidP="00F82D29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 xml:space="preserve"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</w:t>
      </w:r>
      <w:r w:rsidR="00F82D29" w:rsidRPr="00F82D29">
        <w:rPr>
          <w:rFonts w:eastAsia="Times New Roman"/>
          <w:lang w:eastAsia="ru-RU"/>
        </w:rPr>
        <w:t xml:space="preserve">на ветхие, аварийные объекты, объекты, подлежащие сносу или капитальному ремонту, а также объекты, максимальный объем потребления природного </w:t>
      </w:r>
      <w:proofErr w:type="gramStart"/>
      <w:r w:rsidR="00F82D29" w:rsidRPr="00F82D29">
        <w:rPr>
          <w:rFonts w:eastAsia="Times New Roman"/>
          <w:lang w:eastAsia="ru-RU"/>
        </w:rPr>
        <w:t>газа</w:t>
      </w:r>
      <w:proofErr w:type="gramEnd"/>
      <w:r w:rsidR="00F82D29" w:rsidRPr="00F82D29">
        <w:rPr>
          <w:rFonts w:eastAsia="Times New Roman"/>
          <w:lang w:eastAsia="ru-RU"/>
        </w:rPr>
        <w:t xml:space="preserve"> которых составляет менее чем два кубических метра в час (в отношении организации учета используемого природного газа), на многоквартирные дома, физический износ основных конструктивных </w:t>
      </w:r>
      <w:proofErr w:type="gramStart"/>
      <w:r w:rsidR="00F82D29" w:rsidRPr="00F82D29">
        <w:rPr>
          <w:rFonts w:eastAsia="Times New Roman"/>
          <w:lang w:eastAsia="ru-RU"/>
        </w:rPr>
        <w:t>элементов</w:t>
      </w:r>
      <w:proofErr w:type="gramEnd"/>
      <w:r w:rsidR="00F82D29" w:rsidRPr="00F82D29">
        <w:rPr>
          <w:rFonts w:eastAsia="Times New Roman"/>
          <w:lang w:eastAsia="ru-RU"/>
        </w:rPr>
        <w:t xml:space="preserve">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реконструкции, на многоквартирные дома, которые включены в программу реновации жилищного фонда, осуществляемой в соответствии с федеральным </w:t>
      </w:r>
      <w:hyperlink r:id="rId4" w:history="1">
        <w:r w:rsidR="00F82D29" w:rsidRPr="00F82D29">
          <w:rPr>
            <w:rFonts w:eastAsia="Times New Roman"/>
            <w:color w:val="0000FF"/>
            <w:u w:val="single"/>
            <w:lang w:eastAsia="ru-RU"/>
          </w:rPr>
          <w:t>законом</w:t>
        </w:r>
      </w:hyperlink>
      <w:r w:rsidR="00F82D29" w:rsidRPr="00F82D29">
        <w:rPr>
          <w:rFonts w:eastAsia="Times New Roman"/>
          <w:lang w:eastAsia="ru-RU"/>
        </w:rPr>
        <w:t>, и в которых мероприятия, выполняемые в соответствии с указанной программой, должны быть реализованы в течение трех лет.</w:t>
      </w:r>
      <w:r w:rsidR="00F82D29" w:rsidRPr="00F82D29">
        <w:rPr>
          <w:rFonts w:eastAsia="Times New Roman"/>
          <w:sz w:val="24"/>
          <w:szCs w:val="24"/>
          <w:lang w:eastAsia="ru-RU"/>
        </w:rPr>
        <w:t xml:space="preserve"> </w:t>
      </w:r>
    </w:p>
    <w:p w:rsidR="00F82D29" w:rsidRDefault="00F82D29" w:rsidP="001247C5">
      <w:pPr>
        <w:spacing w:after="0" w:line="240" w:lineRule="auto"/>
        <w:ind w:firstLine="709"/>
        <w:jc w:val="both"/>
      </w:pPr>
    </w:p>
    <w:p w:rsidR="001247C5" w:rsidRPr="008116CE" w:rsidRDefault="001247C5" w:rsidP="001247C5">
      <w:pPr>
        <w:spacing w:after="0" w:line="240" w:lineRule="auto"/>
        <w:ind w:firstLine="709"/>
        <w:jc w:val="both"/>
        <w:rPr>
          <w:b/>
        </w:rPr>
      </w:pPr>
      <w:r w:rsidRPr="008116CE">
        <w:rPr>
          <w:b/>
        </w:rPr>
        <w:t>Кто имеет право устанавливать приборы учёта энергоресурсов?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 xml:space="preserve"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</w:t>
      </w:r>
      <w:r>
        <w:lastRenderedPageBreak/>
        <w:t>членом СРО в строительстве и иметь выданное СРО свидетельство о допуске к данному конкретному виду работ.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 xml:space="preserve">До 1 июля 2010 г. </w:t>
      </w:r>
      <w:proofErr w:type="spellStart"/>
      <w:r>
        <w:t>энергоснабжающие</w:t>
      </w:r>
      <w:proofErr w:type="spellEnd"/>
      <w: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8116CE" w:rsidRDefault="001247C5" w:rsidP="001247C5">
      <w:pPr>
        <w:spacing w:after="0" w:line="240" w:lineRule="auto"/>
        <w:ind w:firstLine="709"/>
        <w:jc w:val="both"/>
        <w:rPr>
          <w:b/>
        </w:rPr>
      </w:pPr>
      <w:r w:rsidRPr="008116CE">
        <w:rPr>
          <w:b/>
        </w:rPr>
        <w:t>Имеет ли право исполнитель коммунальной услуги требовать деньги за пломбирование и последующее обслуживание счетчиков?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ресурсоснабжающая организация) о согласовании установки прибора учета и внесении необходимых изменений в договор на поставку ресурса.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 xml:space="preserve">В целях </w:t>
      </w:r>
      <w:proofErr w:type="gramStart"/>
      <w:r>
        <w:t>исключения случаев бесконтрольного демонтажа прибора учета</w:t>
      </w:r>
      <w:proofErr w:type="gramEnd"/>
      <w: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8116CE" w:rsidRDefault="001247C5" w:rsidP="001247C5">
      <w:pPr>
        <w:spacing w:after="0" w:line="240" w:lineRule="auto"/>
        <w:ind w:firstLine="709"/>
        <w:jc w:val="both"/>
        <w:rPr>
          <w:b/>
        </w:rPr>
      </w:pPr>
      <w:r w:rsidRPr="008116CE">
        <w:rPr>
          <w:b/>
        </w:rPr>
        <w:t>Какую ответственность несут собственники за отказ от установки приборов учёта?</w:t>
      </w:r>
    </w:p>
    <w:p w:rsidR="001247C5" w:rsidRDefault="008116CE" w:rsidP="001247C5">
      <w:pPr>
        <w:spacing w:after="0" w:line="240" w:lineRule="auto"/>
        <w:ind w:firstLine="709"/>
        <w:jc w:val="both"/>
      </w:pPr>
      <w:proofErr w:type="spellStart"/>
      <w:r>
        <w:t>Э</w:t>
      </w:r>
      <w:r w:rsidR="001247C5">
        <w:t>нергоснабжающая</w:t>
      </w:r>
      <w:proofErr w:type="spellEnd"/>
      <w:r w:rsidR="001247C5">
        <w:t xml:space="preserve"> организация вправе принудительно установить, и взыскать по суду с потребителя все расходы по установке плюс судебные издержки.</w:t>
      </w:r>
    </w:p>
    <w:p w:rsidR="001247C5" w:rsidRDefault="001247C5" w:rsidP="001247C5">
      <w:pPr>
        <w:spacing w:after="0" w:line="240" w:lineRule="auto"/>
        <w:ind w:firstLine="709"/>
        <w:jc w:val="both"/>
      </w:pPr>
      <w:proofErr w:type="spellStart"/>
      <w:r>
        <w:t>Ресурсоснабжающие</w:t>
      </w:r>
      <w:proofErr w:type="spellEnd"/>
      <w:r>
        <w:t xml:space="preserve"> организации не вправе отказать обратившимся к ним лицам в заключени</w:t>
      </w:r>
      <w:proofErr w:type="gramStart"/>
      <w:r>
        <w:t>и</w:t>
      </w:r>
      <w:proofErr w:type="gramEnd"/>
      <w: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957506" w:rsidRDefault="001247C5" w:rsidP="001247C5">
      <w:pPr>
        <w:spacing w:after="0" w:line="240" w:lineRule="auto"/>
        <w:ind w:firstLine="709"/>
        <w:jc w:val="both"/>
        <w:rPr>
          <w:b/>
        </w:rPr>
      </w:pPr>
      <w:r w:rsidRPr="00957506">
        <w:rPr>
          <w:b/>
        </w:rPr>
        <w:t xml:space="preserve">Кто осуществляет </w:t>
      </w:r>
      <w:proofErr w:type="gramStart"/>
      <w:r w:rsidRPr="00957506">
        <w:rPr>
          <w:b/>
        </w:rPr>
        <w:t>контроль за</w:t>
      </w:r>
      <w:proofErr w:type="gramEnd"/>
      <w:r w:rsidRPr="00957506">
        <w:rPr>
          <w:b/>
        </w:rPr>
        <w:t xml:space="preserve"> соблюдением обязанностей по установке приборов учёта энергоресурсов?</w:t>
      </w:r>
    </w:p>
    <w:p w:rsidR="001247C5" w:rsidRDefault="001247C5" w:rsidP="001247C5">
      <w:pPr>
        <w:spacing w:after="0" w:line="240" w:lineRule="auto"/>
        <w:ind w:firstLine="709"/>
        <w:jc w:val="both"/>
      </w:pPr>
      <w:proofErr w:type="gramStart"/>
      <w:r>
        <w:t>Контроль за</w:t>
      </w:r>
      <w:proofErr w:type="gramEnd"/>
      <w: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>
        <w:t>Ростехнадзор</w:t>
      </w:r>
      <w:proofErr w:type="spellEnd"/>
      <w:r>
        <w:t>) и их территориальные органы в субъектах РФ.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957506" w:rsidRDefault="001247C5" w:rsidP="001247C5">
      <w:pPr>
        <w:spacing w:after="0" w:line="240" w:lineRule="auto"/>
        <w:ind w:firstLine="709"/>
        <w:jc w:val="both"/>
        <w:rPr>
          <w:b/>
        </w:rPr>
      </w:pPr>
      <w:r w:rsidRPr="00957506">
        <w:rPr>
          <w:b/>
        </w:rPr>
        <w:t>Предусмотрены ли штрафные санкции за не соблюдение обязанностей по установке приборов учёта энергоресурсов?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Да, предусмотрены. Законом об энергосбережении (статья 37) внесены поправки в Кодекс Российской Федерации об административных правонарушениях (</w:t>
      </w:r>
      <w:proofErr w:type="spellStart"/>
      <w:r>
        <w:t>КоАП</w:t>
      </w:r>
      <w:proofErr w:type="spellEnd"/>
      <w:r>
        <w:t>).</w:t>
      </w:r>
    </w:p>
    <w:p w:rsidR="00BF7959" w:rsidRDefault="005B1872" w:rsidP="005B1872">
      <w:pPr>
        <w:spacing w:after="0" w:line="240" w:lineRule="auto"/>
        <w:ind w:firstLine="709"/>
        <w:jc w:val="both"/>
      </w:pPr>
      <w:proofErr w:type="gramStart"/>
      <w:r>
        <w:t>Несоблюдение при проектировании, строительстве, реконструкции, капитальном ремонте зданий, строений, сооружений требований энергетической эффективности, требований их оснащенности приборами учета исполь</w:t>
      </w:r>
      <w:r>
        <w:t xml:space="preserve">зуемых энергетических ресурсов </w:t>
      </w:r>
      <w:r>
        <w:t>влечет наложение административного штрафа на должностных лиц в размере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пятидесяти тысяч рублей;</w:t>
      </w:r>
      <w:proofErr w:type="gramEnd"/>
      <w:r>
        <w:t xml:space="preserve"> на юридических лиц - от пятисот тысяч до шестисот тысяч рублей.</w:t>
      </w:r>
    </w:p>
    <w:p w:rsidR="005558A5" w:rsidRDefault="005558A5" w:rsidP="005558A5">
      <w:pPr>
        <w:spacing w:after="0" w:line="240" w:lineRule="auto"/>
        <w:ind w:firstLine="709"/>
        <w:jc w:val="both"/>
      </w:pPr>
      <w:proofErr w:type="gramStart"/>
      <w:r>
        <w:t>Несоблюдение лицами, ответственными за содержание многоквартирных домов, требований энергетической эффективности, предъявляемых к многоквартирным домам, требований их оснащенности приборами учета используемых энергетических ресурсов, требований о проведении обязательных мероприятий по энергосбережению и повышению энергетической эффективности общего имущества собственников пом</w:t>
      </w:r>
      <w:r>
        <w:t xml:space="preserve">ещений в многоквартирных домах </w:t>
      </w:r>
      <w:r>
        <w:t>влечет наложение административного штрафа на должностных лиц в размере от пяти тысяч до десяти тысяч рублей;</w:t>
      </w:r>
      <w:proofErr w:type="gramEnd"/>
      <w:r>
        <w:t xml:space="preserve"> на лиц, осуществляющих предпринимательскую деятельность без образования юридического лица, - от десяти тысяч до пятнадцати тысяч рублей; на юридических лиц - от двадцати тысяч до тридцати тысяч рублей.</w:t>
      </w:r>
    </w:p>
    <w:p w:rsidR="005558A5" w:rsidRDefault="005558A5" w:rsidP="005558A5">
      <w:pPr>
        <w:spacing w:after="0" w:line="240" w:lineRule="auto"/>
        <w:ind w:firstLine="709"/>
        <w:jc w:val="both"/>
      </w:pPr>
      <w:proofErr w:type="gramStart"/>
      <w:r>
        <w:t>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требования 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</w:t>
      </w:r>
      <w:r>
        <w:t>м лицам</w:t>
      </w:r>
      <w:proofErr w:type="gramEnd"/>
      <w:r>
        <w:t xml:space="preserve"> является обязательным, </w:t>
      </w:r>
      <w:r>
        <w:t>влечет наложение административного штрафа на должностных лиц в размере от двадцати тысяч до тридцати тысяч рублей; на юридических лиц - от ста тысяч до ста пятидесяти тысяч рублей.</w:t>
      </w:r>
    </w:p>
    <w:p w:rsidR="005558A5" w:rsidRDefault="005558A5" w:rsidP="005558A5">
      <w:pPr>
        <w:spacing w:after="0" w:line="240" w:lineRule="auto"/>
        <w:ind w:firstLine="709"/>
        <w:jc w:val="both"/>
      </w:pPr>
      <w:r>
        <w:lastRenderedPageBreak/>
        <w:t>Несоблюдение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их оснащенности приборами учета используемых энергетическ</w:t>
      </w:r>
      <w:r>
        <w:t xml:space="preserve">их ресурсов </w:t>
      </w:r>
      <w:r>
        <w:t>влечет наложение административного штрафа на должностных лиц в размере от десяти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пяти тысяч рублей; на юридических лиц - от ста тысяч до ста пятидесяти тысяч рублей.</w:t>
      </w:r>
    </w:p>
    <w:p w:rsidR="00BF7959" w:rsidRDefault="00BF7959" w:rsidP="001247C5">
      <w:pPr>
        <w:spacing w:after="0" w:line="240" w:lineRule="auto"/>
        <w:ind w:firstLine="709"/>
        <w:jc w:val="both"/>
      </w:pPr>
    </w:p>
    <w:p w:rsidR="001247C5" w:rsidRPr="00BF7959" w:rsidRDefault="001247C5" w:rsidP="001247C5">
      <w:pPr>
        <w:spacing w:after="0" w:line="240" w:lineRule="auto"/>
        <w:ind w:firstLine="709"/>
        <w:jc w:val="both"/>
        <w:rPr>
          <w:b/>
        </w:rPr>
      </w:pPr>
      <w:r w:rsidRPr="00BF7959">
        <w:rPr>
          <w:b/>
        </w:rPr>
        <w:t>Кто осуществляет техническое обслуживание и ремонт приборов учёта?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>
        <w:t>энергоснабжающая</w:t>
      </w:r>
      <w:proofErr w:type="spellEnd"/>
      <w:r>
        <w:t xml:space="preserve"> организация, управляющая компания).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9E5EFA" w:rsidRDefault="001247C5" w:rsidP="001247C5">
      <w:pPr>
        <w:spacing w:after="0" w:line="240" w:lineRule="auto"/>
        <w:ind w:firstLine="709"/>
        <w:jc w:val="both"/>
        <w:rPr>
          <w:b/>
        </w:rPr>
      </w:pPr>
      <w:r w:rsidRPr="009E5EFA">
        <w:rPr>
          <w:b/>
        </w:rPr>
        <w:t>Кто осуществляет и оплачивает поверку приборов учёта?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>
        <w:t>поверка</w:t>
      </w:r>
      <w:proofErr w:type="gramEnd"/>
      <w:r>
        <w:t xml:space="preserve"> оплачивается из собственных средств собственника.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Суть метрологической поверки заключается в испытаниях прибора учёта на более точном оборудовании.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 xml:space="preserve">Периодичность поверки указана в паспорте на прибор учёта. </w:t>
      </w:r>
      <w:proofErr w:type="spellStart"/>
      <w:r>
        <w:t>Межповерочный</w:t>
      </w:r>
      <w:proofErr w:type="spellEnd"/>
      <w: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9E5EFA" w:rsidRDefault="001247C5" w:rsidP="001247C5">
      <w:pPr>
        <w:spacing w:after="0" w:line="240" w:lineRule="auto"/>
        <w:ind w:firstLine="709"/>
        <w:jc w:val="both"/>
        <w:rPr>
          <w:b/>
        </w:rPr>
      </w:pPr>
      <w:r w:rsidRPr="009E5EFA">
        <w:rPr>
          <w:b/>
        </w:rPr>
        <w:t>Каковы последствия эксплуатации непроверенных приборов?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1247C5" w:rsidRDefault="001247C5" w:rsidP="001247C5">
      <w:pPr>
        <w:spacing w:after="0" w:line="240" w:lineRule="auto"/>
        <w:ind w:firstLine="709"/>
        <w:jc w:val="both"/>
      </w:pPr>
    </w:p>
    <w:p w:rsidR="001247C5" w:rsidRPr="009E5EFA" w:rsidRDefault="001247C5" w:rsidP="001247C5">
      <w:pPr>
        <w:spacing w:after="0" w:line="240" w:lineRule="auto"/>
        <w:ind w:firstLine="709"/>
        <w:jc w:val="both"/>
        <w:rPr>
          <w:b/>
        </w:rPr>
      </w:pPr>
      <w:r w:rsidRPr="009E5EFA">
        <w:rPr>
          <w:b/>
        </w:rPr>
        <w:t>Какие приборы учёта энергии можно применять?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</w:p>
    <w:p w:rsidR="001247C5" w:rsidRDefault="001247C5" w:rsidP="001247C5">
      <w:pPr>
        <w:spacing w:after="0" w:line="240" w:lineRule="auto"/>
        <w:ind w:firstLine="709"/>
        <w:jc w:val="both"/>
      </w:pPr>
      <w:r>
        <w:t xml:space="preserve">Однако даже включение прибора в </w:t>
      </w:r>
      <w:proofErr w:type="spellStart"/>
      <w:r>
        <w:t>Госреестр</w:t>
      </w:r>
      <w:proofErr w:type="spellEnd"/>
      <w: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>
        <w:t>теплопотребляющим</w:t>
      </w:r>
      <w:proofErr w:type="spellEnd"/>
      <w: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</w:p>
    <w:p w:rsidR="00E61210" w:rsidRDefault="001247C5" w:rsidP="001247C5">
      <w:pPr>
        <w:spacing w:after="0" w:line="240" w:lineRule="auto"/>
        <w:ind w:firstLine="709"/>
        <w:jc w:val="both"/>
      </w:pPr>
      <w:r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sectPr w:rsidR="00E61210" w:rsidSect="005E053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51FB0"/>
    <w:rsid w:val="00053AC7"/>
    <w:rsid w:val="001247C5"/>
    <w:rsid w:val="002219F1"/>
    <w:rsid w:val="004225CA"/>
    <w:rsid w:val="004B1226"/>
    <w:rsid w:val="005558A5"/>
    <w:rsid w:val="005B1872"/>
    <w:rsid w:val="005E0534"/>
    <w:rsid w:val="00604507"/>
    <w:rsid w:val="00722B5C"/>
    <w:rsid w:val="00783E13"/>
    <w:rsid w:val="007B7FA8"/>
    <w:rsid w:val="008116CE"/>
    <w:rsid w:val="00921F21"/>
    <w:rsid w:val="00941109"/>
    <w:rsid w:val="00957506"/>
    <w:rsid w:val="009E5EFA"/>
    <w:rsid w:val="00A51FB0"/>
    <w:rsid w:val="00B07577"/>
    <w:rsid w:val="00BA5B1C"/>
    <w:rsid w:val="00BF7959"/>
    <w:rsid w:val="00DE6081"/>
    <w:rsid w:val="00E61210"/>
    <w:rsid w:val="00EB0690"/>
    <w:rsid w:val="00ED038F"/>
    <w:rsid w:val="00EE2720"/>
    <w:rsid w:val="00F8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2D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56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2&amp;base=LAW&amp;n=389162&amp;dst=100065&amp;field=134&amp;date=13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16</cp:revision>
  <dcterms:created xsi:type="dcterms:W3CDTF">2022-12-13T08:32:00Z</dcterms:created>
  <dcterms:modified xsi:type="dcterms:W3CDTF">2022-12-13T11:17:00Z</dcterms:modified>
</cp:coreProperties>
</file>