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13" w:rsidRDefault="00F76113" w:rsidP="00F76113">
      <w:pPr>
        <w:jc w:val="both"/>
        <w:rPr>
          <w:rFonts w:ascii="Times New Roman" w:hAnsi="Times New Roman" w:cs="Times New Roman"/>
          <w:sz w:val="28"/>
          <w:szCs w:val="28"/>
        </w:rPr>
      </w:pPr>
      <w:r w:rsidRPr="00F76113">
        <w:rPr>
          <w:rFonts w:ascii="Times New Roman" w:hAnsi="Times New Roman" w:cs="Times New Roman"/>
          <w:b/>
          <w:sz w:val="28"/>
          <w:szCs w:val="28"/>
        </w:rPr>
        <w:t>Увеличены размеры социальных налоговых вычетов, в том числе по расходам на образование и лечение</w:t>
      </w:r>
      <w:r w:rsidRPr="00F76113">
        <w:rPr>
          <w:rFonts w:ascii="Times New Roman" w:hAnsi="Times New Roman" w:cs="Times New Roman"/>
          <w:sz w:val="28"/>
          <w:szCs w:val="28"/>
        </w:rPr>
        <w:t xml:space="preserve"> (Федеральный закон от 28.04.2023 № 159-ФЗ «О внесении изменений в статьи 219 и 257 части второй Налогового кодекса Российской Федерации») </w:t>
      </w:r>
    </w:p>
    <w:p w:rsidR="00F76113" w:rsidRDefault="00F76113" w:rsidP="00F76113">
      <w:pPr>
        <w:jc w:val="both"/>
        <w:rPr>
          <w:rFonts w:ascii="Times New Roman" w:hAnsi="Times New Roman" w:cs="Times New Roman"/>
          <w:sz w:val="28"/>
          <w:szCs w:val="28"/>
        </w:rPr>
      </w:pPr>
      <w:r w:rsidRPr="00F76113">
        <w:rPr>
          <w:rFonts w:ascii="Times New Roman" w:hAnsi="Times New Roman" w:cs="Times New Roman"/>
          <w:sz w:val="28"/>
          <w:szCs w:val="28"/>
        </w:rPr>
        <w:t xml:space="preserve">Предельный размер вычета по НДФЛ в части расходов на обучение детей увеличен с 50 до 110 тыс. рублей на каждого ребенка. </w:t>
      </w:r>
    </w:p>
    <w:p w:rsidR="00F76113" w:rsidRDefault="00F76113" w:rsidP="00F76113">
      <w:pPr>
        <w:jc w:val="both"/>
        <w:rPr>
          <w:rFonts w:ascii="Times New Roman" w:hAnsi="Times New Roman" w:cs="Times New Roman"/>
          <w:sz w:val="28"/>
          <w:szCs w:val="28"/>
        </w:rPr>
      </w:pPr>
      <w:r w:rsidRPr="00F76113">
        <w:rPr>
          <w:rFonts w:ascii="Times New Roman" w:hAnsi="Times New Roman" w:cs="Times New Roman"/>
          <w:sz w:val="28"/>
          <w:szCs w:val="28"/>
        </w:rPr>
        <w:t xml:space="preserve">По иным расходам, в том числе по расходам на собственное образование, медицинские услуги и лекарства, физкультурно-оздоровительные услуги, - со 120 до 150 тыс. рублей. </w:t>
      </w:r>
    </w:p>
    <w:p w:rsidR="00C630AA" w:rsidRPr="00F76113" w:rsidRDefault="00F76113" w:rsidP="00F76113">
      <w:pPr>
        <w:jc w:val="both"/>
        <w:rPr>
          <w:rFonts w:ascii="Times New Roman" w:hAnsi="Times New Roman" w:cs="Times New Roman"/>
          <w:sz w:val="28"/>
          <w:szCs w:val="28"/>
        </w:rPr>
      </w:pPr>
      <w:r w:rsidRPr="00F76113">
        <w:rPr>
          <w:rFonts w:ascii="Times New Roman" w:hAnsi="Times New Roman" w:cs="Times New Roman"/>
          <w:sz w:val="28"/>
          <w:szCs w:val="28"/>
        </w:rPr>
        <w:t xml:space="preserve">Кроме того, принятым законом установлен повышающий коэффициент 1,5 к расходам на приобретение отечественного высокотехнологичного оборудования, применяемый при исчислении налога на прибыль. </w:t>
      </w:r>
      <w:bookmarkStart w:id="0" w:name="_GoBack"/>
      <w:bookmarkEnd w:id="0"/>
      <w:r w:rsidRPr="00F76113">
        <w:rPr>
          <w:rFonts w:ascii="Times New Roman" w:hAnsi="Times New Roman" w:cs="Times New Roman"/>
          <w:sz w:val="28"/>
          <w:szCs w:val="28"/>
        </w:rPr>
        <w:t>Перечень такого оборудования утвердит Правительство РФ.</w:t>
      </w:r>
    </w:p>
    <w:sectPr w:rsidR="00C630AA" w:rsidRPr="00F7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13"/>
    <w:rsid w:val="00C630AA"/>
    <w:rsid w:val="00F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D7EA"/>
  <w15:chartTrackingRefBased/>
  <w15:docId w15:val="{B4C82DDA-0464-4523-8777-E266DD31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2023-05-24T08:27:00Z</dcterms:created>
  <dcterms:modified xsi:type="dcterms:W3CDTF">2023-05-24T08:28:00Z</dcterms:modified>
</cp:coreProperties>
</file>