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D874319384D4797C76420C2F93633" ma:contentTypeVersion="0" ma:contentTypeDescription="Создание документа." ma:contentTypeScope="" ma:versionID="7bb51461db07bcfc19e86e2e197a237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XXJ7TYMEEKJ2-5974-58</_dlc_DocId>
    <_dlc_DocIdUrl xmlns="57504d04-691e-4fc4-8f09-4f19fdbe90f6">
      <Url>https://vip.gov.mari.ru/minzdrav/rnd/_layouts/DocIdRedir.aspx?ID=XXJ7TYMEEKJ2-5974-58</Url>
      <Description>XXJ7TYMEEKJ2-5974-58</Description>
    </_dlc_DocIdUrl>
  </documentManagement>
</p:properties>
</file>

<file path=customXml/itemProps1.xml><?xml version="1.0" encoding="utf-8"?>
<ds:datastoreItem xmlns:ds="http://schemas.openxmlformats.org/officeDocument/2006/customXml" ds:itemID="{C9413A99-BCAD-4790-8018-7E389A8D3580}"/>
</file>

<file path=customXml/itemProps2.xml><?xml version="1.0" encoding="utf-8"?>
<ds:datastoreItem xmlns:ds="http://schemas.openxmlformats.org/officeDocument/2006/customXml" ds:itemID="{7D233263-3E75-4D23-B211-6BB7B19F71AD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AC408618-3568-46C1-8FA6-E31644842D87}"/>
</file>

<file path=customXml/itemProps5.xml><?xml version="1.0" encoding="utf-8"?>
<ds:datastoreItem xmlns:ds="http://schemas.openxmlformats.org/officeDocument/2006/customXml" ds:itemID="{EA719803-31E4-491E-8753-5C90C2DCB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0x010100A66D874319384D4797C76420C2F93633</vt:lpwstr>
  </property>
  <property fmtid="{D5CDD505-2E9C-101B-9397-08002B2CF9AE}" pid="3" name="_dlc_DocIdItemGuid">
    <vt:lpwstr>f95c629b-482d-4f22-866a-291ae34290d6</vt:lpwstr>
  </property>
</Properties>
</file>