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4F" w:rsidRPr="00D57F4F" w:rsidRDefault="00D57F4F" w:rsidP="00D57F4F">
      <w:pPr>
        <w:widowControl/>
        <w:autoSpaceDE/>
        <w:autoSpaceDN/>
        <w:adjustRightInd/>
        <w:jc w:val="right"/>
        <w:rPr>
          <w:color w:val="808080" w:themeColor="background1" w:themeShade="80"/>
          <w:sz w:val="18"/>
          <w:szCs w:val="18"/>
        </w:rPr>
      </w:pPr>
      <w:bookmarkStart w:id="0" w:name="_GoBack"/>
      <w:bookmarkEnd w:id="0"/>
      <w:r w:rsidRPr="00D57F4F">
        <w:rPr>
          <w:color w:val="808080" w:themeColor="background1" w:themeShade="80"/>
          <w:sz w:val="18"/>
          <w:szCs w:val="18"/>
        </w:rPr>
        <w:t>01.07.2015</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w:t>
            </w:r>
            <w:r w:rsidRPr="00BF25E4">
              <w:rPr>
                <w:color w:val="auto"/>
                <w:sz w:val="12"/>
                <w:szCs w:val="12"/>
              </w:rPr>
              <w:lastRenderedPageBreak/>
              <w:t>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143A9F">
              <w:rPr>
                <w:color w:val="auto"/>
                <w:sz w:val="12"/>
                <w:szCs w:val="12"/>
              </w:rPr>
              <w:t xml:space="preserve"> </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проведении аукциона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EB4C63" w:rsidRPr="00143A9F" w:rsidRDefault="00EB4C63" w:rsidP="00342264">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статья 448, пункт </w:t>
            </w:r>
            <w:r w:rsidR="00342264" w:rsidRPr="00143A9F">
              <w:rPr>
                <w:color w:val="auto"/>
                <w:sz w:val="12"/>
                <w:szCs w:val="12"/>
              </w:rPr>
              <w:t>6</w:t>
            </w:r>
            <w:r w:rsidRPr="00143A9F">
              <w:rPr>
                <w:color w:val="auto"/>
                <w:sz w:val="12"/>
                <w:szCs w:val="12"/>
              </w:rPr>
              <w:t>,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rsidP="00B6714D">
            <w:pPr>
              <w:spacing w:line="100" w:lineRule="atLeast"/>
              <w:rPr>
                <w:color w:val="auto"/>
                <w:sz w:val="12"/>
                <w:szCs w:val="12"/>
              </w:rPr>
            </w:pPr>
            <w:r w:rsidRPr="00143A9F">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143A9F">
              <w:rPr>
                <w:color w:val="auto"/>
                <w:sz w:val="12"/>
                <w:szCs w:val="12"/>
              </w:rPr>
              <w:t>аукциона</w:t>
            </w:r>
            <w:r w:rsidRPr="00143A9F">
              <w:rPr>
                <w:color w:val="auto"/>
                <w:sz w:val="12"/>
                <w:szCs w:val="12"/>
              </w:rPr>
              <w:t xml:space="preserve"> - </w:t>
            </w:r>
            <w:r w:rsidR="00B6714D" w:rsidRPr="00143A9F">
              <w:rPr>
                <w:color w:val="auto"/>
                <w:sz w:val="12"/>
                <w:szCs w:val="12"/>
              </w:rPr>
              <w:t>аукцион</w:t>
            </w:r>
            <w:r w:rsidRPr="00143A9F">
              <w:rPr>
                <w:color w:val="auto"/>
                <w:sz w:val="12"/>
                <w:szCs w:val="12"/>
              </w:rPr>
              <w:t xml:space="preserve"> состоял</w:t>
            </w:r>
            <w:r w:rsidR="00B6714D" w:rsidRPr="00143A9F">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143A9F" w:rsidRDefault="00EB4C6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BF25E4" w:rsidRDefault="00CF6742"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00243C0C" w:rsidRPr="00143A9F">
              <w:rPr>
                <w:color w:val="auto"/>
                <w:sz w:val="12"/>
                <w:szCs w:val="12"/>
              </w:rPr>
              <w:t xml:space="preserve"> </w:t>
            </w:r>
            <w:r w:rsidRPr="00143A9F">
              <w:rPr>
                <w:color w:val="auto"/>
                <w:sz w:val="12"/>
                <w:szCs w:val="12"/>
                <w:u w:val="single"/>
              </w:rPr>
              <w:t xml:space="preserve">(если имеется победитель аукциона или единственный </w:t>
            </w:r>
            <w:r w:rsidRPr="00143A9F">
              <w:rPr>
                <w:color w:val="auto"/>
                <w:sz w:val="12"/>
                <w:szCs w:val="12"/>
                <w:u w:val="single"/>
              </w:rPr>
              <w:lastRenderedPageBreak/>
              <w:t>принявший участие в аукционе его участник)</w:t>
            </w:r>
          </w:p>
          <w:p w:rsidR="00E85AC5" w:rsidRPr="00143A9F" w:rsidRDefault="00EB4C63">
            <w:pPr>
              <w:spacing w:after="120" w:line="20" w:lineRule="atLeast"/>
              <w:rPr>
                <w:color w:val="auto"/>
                <w:sz w:val="12"/>
                <w:szCs w:val="12"/>
                <w:u w:val="single"/>
              </w:rPr>
            </w:pPr>
            <w:r w:rsidRPr="00143A9F">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143A9F">
              <w:rPr>
                <w:color w:val="auto"/>
                <w:sz w:val="12"/>
                <w:szCs w:val="12"/>
              </w:rPr>
              <w:t xml:space="preserve">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t xml:space="preserve">5. Утверждение </w:t>
            </w:r>
            <w:r w:rsidRPr="00BF25E4">
              <w:rPr>
                <w:color w:val="auto"/>
                <w:spacing w:val="-4"/>
                <w:sz w:val="12"/>
                <w:szCs w:val="12"/>
              </w:rPr>
              <w:lastRenderedPageBreak/>
              <w:t>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Градостроительный </w:t>
            </w:r>
            <w:r w:rsidRPr="00BF25E4">
              <w:rPr>
                <w:color w:val="auto"/>
                <w:sz w:val="12"/>
                <w:szCs w:val="12"/>
              </w:rPr>
              <w:lastRenderedPageBreak/>
              <w:t>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lastRenderedPageBreak/>
              <w:t xml:space="preserve">Градостроительный </w:t>
            </w:r>
            <w:r w:rsidRPr="00770981">
              <w:rPr>
                <w:color w:val="auto"/>
                <w:sz w:val="12"/>
                <w:szCs w:val="12"/>
              </w:rPr>
              <w:lastRenderedPageBreak/>
              <w:t>кодекс Российской Федерации от 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lastRenderedPageBreak/>
              <w:t xml:space="preserve">Если подготовка </w:t>
            </w:r>
            <w:r w:rsidRPr="00143A9F">
              <w:rPr>
                <w:color w:val="auto"/>
                <w:sz w:val="12"/>
                <w:szCs w:val="12"/>
              </w:rPr>
              <w:lastRenderedPageBreak/>
              <w:t>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Запрос о </w:t>
            </w:r>
            <w:r w:rsidRPr="00143A9F">
              <w:rPr>
                <w:color w:val="auto"/>
                <w:sz w:val="12"/>
                <w:szCs w:val="12"/>
              </w:rPr>
              <w:lastRenderedPageBreak/>
              <w:t xml:space="preserve">предоставлении государственной </w:t>
            </w:r>
            <w:r w:rsidR="00594912" w:rsidRPr="00143A9F">
              <w:rPr>
                <w:color w:val="auto"/>
                <w:sz w:val="12"/>
                <w:szCs w:val="12"/>
              </w:rPr>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lastRenderedPageBreak/>
              <w:t xml:space="preserve">Утвержденная </w:t>
            </w:r>
            <w:r w:rsidRPr="00143A9F">
              <w:rPr>
                <w:color w:val="auto"/>
                <w:sz w:val="12"/>
                <w:szCs w:val="12"/>
              </w:rPr>
              <w:lastRenderedPageBreak/>
              <w:t>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w:t>
            </w:r>
            <w:r w:rsidRPr="00143A9F">
              <w:rPr>
                <w:color w:val="auto"/>
                <w:spacing w:val="-4"/>
                <w:sz w:val="12"/>
                <w:szCs w:val="12"/>
              </w:rPr>
              <w:lastRenderedPageBreak/>
              <w:t xml:space="preserve">заключение о результатах 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Проверка </w:t>
            </w:r>
            <w:r w:rsidRPr="00143A9F">
              <w:rPr>
                <w:color w:val="auto"/>
                <w:sz w:val="12"/>
                <w:szCs w:val="12"/>
              </w:rPr>
              <w:lastRenderedPageBreak/>
              <w:t>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143A9F" w:rsidRDefault="00152F0E">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Предоставляется на </w:t>
            </w:r>
            <w:r w:rsidRPr="00BF25E4">
              <w:rPr>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lastRenderedPageBreak/>
              <w:t xml:space="preserve">На бумажном </w:t>
            </w:r>
            <w:r w:rsidRPr="00BF25E4">
              <w:rPr>
                <w:color w:val="auto"/>
                <w:sz w:val="12"/>
                <w:szCs w:val="12"/>
              </w:rPr>
              <w:lastRenderedPageBreak/>
              <w:t>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lastRenderedPageBreak/>
              <w:t xml:space="preserve">Орган местного </w:t>
            </w:r>
            <w:r w:rsidRPr="00770981">
              <w:rPr>
                <w:color w:val="auto"/>
                <w:sz w:val="12"/>
                <w:szCs w:val="12"/>
              </w:rPr>
              <w:lastRenderedPageBreak/>
              <w:t>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t>Уполномоченный орган (исполнительный орган государственной 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143A9F" w:rsidRDefault="00EA0EC2">
            <w:pPr>
              <w:spacing w:after="120" w:line="20" w:lineRule="atLeast"/>
              <w:rPr>
                <w:color w:val="auto"/>
                <w:sz w:val="12"/>
                <w:szCs w:val="12"/>
              </w:rPr>
            </w:pPr>
            <w:r w:rsidRPr="00143A9F">
              <w:rPr>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pacing w:val="-4"/>
                <w:sz w:val="12"/>
                <w:szCs w:val="12"/>
              </w:rPr>
            </w:pPr>
            <w:r w:rsidRPr="00BF25E4">
              <w:rPr>
                <w:color w:val="auto"/>
                <w:spacing w:val="-4"/>
                <w:sz w:val="12"/>
                <w:szCs w:val="12"/>
              </w:rPr>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4B1082">
            <w:pPr>
              <w:spacing w:line="100" w:lineRule="atLeast"/>
              <w:rPr>
                <w:color w:val="auto"/>
                <w:sz w:val="12"/>
                <w:szCs w:val="12"/>
              </w:rPr>
            </w:pPr>
            <w:r w:rsidRPr="00BF25E4">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BF25E4">
              <w:rPr>
                <w:color w:val="auto"/>
                <w:sz w:val="12"/>
                <w:szCs w:val="12"/>
              </w:rPr>
              <w:t>аукциона</w:t>
            </w:r>
            <w:r w:rsidRPr="00BF25E4">
              <w:rPr>
                <w:color w:val="auto"/>
                <w:sz w:val="12"/>
                <w:szCs w:val="12"/>
              </w:rPr>
              <w:t xml:space="preserve"> - </w:t>
            </w:r>
            <w:r w:rsidR="004B1082" w:rsidRPr="00BF25E4">
              <w:rPr>
                <w:color w:val="auto"/>
                <w:sz w:val="12"/>
                <w:szCs w:val="12"/>
              </w:rPr>
              <w:t>аукцион</w:t>
            </w:r>
            <w:r w:rsidRPr="00BF25E4">
              <w:rPr>
                <w:color w:val="auto"/>
                <w:sz w:val="12"/>
                <w:szCs w:val="12"/>
              </w:rPr>
              <w:t xml:space="preserve"> состоял</w:t>
            </w:r>
            <w:r w:rsidR="004B1082" w:rsidRPr="00BF25E4">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734ACD" w:rsidRDefault="00BC1A06"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734ACD" w:rsidRDefault="003A1873" w:rsidP="007C44D5">
            <w:pPr>
              <w:spacing w:line="20" w:lineRule="atLeast"/>
              <w:rPr>
                <w:color w:val="auto"/>
                <w:sz w:val="12"/>
                <w:szCs w:val="12"/>
              </w:rPr>
            </w:pPr>
          </w:p>
          <w:p w:rsidR="003A1873" w:rsidRPr="00734ACD" w:rsidRDefault="003A1873"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r w:rsidRPr="00143A9F">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143A9F" w:rsidRDefault="00143A9F"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143A9F" w:rsidRPr="00AE302D"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E302D" w:rsidRDefault="00143A9F">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r w:rsidRPr="00AE302D">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AE302D" w:rsidRDefault="00143A9F"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143A9F" w:rsidRPr="00CA2942" w:rsidRDefault="00143A9F"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CA2942" w:rsidRDefault="00143A9F">
            <w:pPr>
              <w:spacing w:line="20" w:lineRule="atLeast"/>
              <w:rPr>
                <w:color w:val="auto"/>
                <w:sz w:val="12"/>
                <w:szCs w:val="12"/>
              </w:rPr>
            </w:pPr>
            <w:r w:rsidRPr="00CA2942">
              <w:rPr>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t xml:space="preserve">6) межевой план заверен подписью неуправомоченного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оснований для государственной 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143A9F" w:rsidRPr="00CA2942" w:rsidRDefault="00143A9F" w:rsidP="00FC3C9F">
            <w:pPr>
              <w:spacing w:line="20" w:lineRule="atLeast"/>
              <w:rPr>
                <w:color w:val="auto"/>
                <w:sz w:val="12"/>
                <w:szCs w:val="12"/>
              </w:rPr>
            </w:pPr>
            <w:r w:rsidRPr="00CA2942">
              <w:rPr>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CA2942" w:rsidRDefault="00143A9F" w:rsidP="00D27D54">
            <w:pPr>
              <w:rPr>
                <w:color w:val="auto"/>
                <w:sz w:val="12"/>
                <w:szCs w:val="12"/>
              </w:rPr>
            </w:pPr>
            <w:r w:rsidRPr="00CA2942">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(если класс напряжения электрической сети 35 кВ и выше)</w:t>
            </w:r>
          </w:p>
          <w:p w:rsidR="00143A9F" w:rsidRPr="00CA2942" w:rsidRDefault="00143A9F">
            <w:pPr>
              <w:spacing w:after="120" w:line="20" w:lineRule="atLeast"/>
              <w:rPr>
                <w:color w:val="auto"/>
                <w:sz w:val="12"/>
                <w:szCs w:val="12"/>
              </w:rPr>
            </w:pPr>
            <w:r w:rsidRPr="00CA2942">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r w:rsidRPr="00CA2942">
              <w:rPr>
                <w:color w:val="auto"/>
                <w:sz w:val="12"/>
                <w:szCs w:val="12"/>
              </w:rPr>
              <w:t>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 xml:space="preserve">Договор о подключении (присоединении) к централизованным 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(если водоснабжающей организации требуется заключить договоры о подключении (присоединении)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t>Баланс водопотребления и 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color w:val="auto"/>
                <w:sz w:val="12"/>
                <w:szCs w:val="12"/>
              </w:rPr>
            </w:pPr>
            <w:r w:rsidRPr="0071043D">
              <w:rPr>
                <w:color w:val="auto"/>
                <w:sz w:val="12"/>
                <w:szCs w:val="12"/>
              </w:rPr>
              <w:t>Договор подключения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Теплотехнический расчет</w:t>
            </w:r>
          </w:p>
          <w:p w:rsidR="00143A9F" w:rsidRPr="0071043D" w:rsidRDefault="00143A9F">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2) назначение использования газа – в том числе автономное 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выполнение инженерных изысканий</w:t>
            </w:r>
            <w:r w:rsidRPr="0071043D">
              <w:rPr>
                <w:color w:val="auto"/>
                <w:sz w:val="12"/>
                <w:szCs w:val="12"/>
                <w:u w:val="single"/>
              </w:rPr>
              <w:t xml:space="preserve"> (если инженерные изыскания 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Акт приемки выполненных 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t>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15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w:t>
            </w:r>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Выписка из государственного кадастра 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топлива; </w:t>
            </w:r>
          </w:p>
          <w:p w:rsidR="00143A9F" w:rsidRPr="0071043D" w:rsidRDefault="00143A9F">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w:t>
            </w:r>
          </w:p>
          <w:p w:rsidR="00143A9F" w:rsidRPr="0071043D" w:rsidRDefault="00143A9F"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143A9F" w:rsidRPr="0071043D" w:rsidRDefault="00143A9F">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t xml:space="preserve">Договор участия в долевом строительстве, зарегистрированный </w:t>
            </w:r>
            <w:r w:rsidR="00754F39"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t>Отказ в приеме документов на 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определения или решения суда; </w:t>
            </w:r>
          </w:p>
          <w:p w:rsidR="00143A9F" w:rsidRPr="0071043D" w:rsidRDefault="00143A9F" w:rsidP="00B50F2E">
            <w:pPr>
              <w:spacing w:line="20" w:lineRule="atLeast"/>
              <w:rPr>
                <w:color w:val="auto"/>
                <w:sz w:val="12"/>
                <w:szCs w:val="12"/>
              </w:rPr>
            </w:pPr>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прав 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r w:rsidRPr="0071043D">
              <w:rPr>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6000 руб.</w:t>
            </w:r>
            <w:r w:rsidRPr="0071043D">
              <w:rPr>
                <w:color w:val="auto"/>
                <w:sz w:val="12"/>
                <w:szCs w:val="12"/>
                <w:u w:val="single"/>
              </w:rPr>
              <w:t>(если заявитель - 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временное технологическое присоединение энергопринимающих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об осуществлении временного технологического 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r w:rsidRPr="0071043D">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70. Заключение договора горячего водоснабжения 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Копия паспорта 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t>73.1 Направление извещения о возникновении аварийной</w:t>
            </w:r>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аккредитованные в случаях, установленных 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2) не может быть позднее чем через 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143A9F" w:rsidRPr="0071043D" w:rsidRDefault="00143A9F">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Акт осмотра (обследования) электроустановки сетевой 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Энергосбытовая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Акт о подключении к системе теплоснабжения</w:t>
            </w:r>
          </w:p>
          <w:p w:rsidR="00143A9F" w:rsidRPr="0071043D" w:rsidRDefault="00143A9F">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AE302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оборудование узла учета воды, сточных вод, согласованная организацией, осуществляющей водоснабжение и (или) водоотведение</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after="120" w:line="20" w:lineRule="atLeast"/>
              <w:rPr>
                <w:color w:val="auto"/>
                <w:sz w:val="12"/>
                <w:szCs w:val="12"/>
              </w:rPr>
            </w:pPr>
            <w:r w:rsidRPr="00AE302D">
              <w:rPr>
                <w:color w:val="auto"/>
                <w:sz w:val="12"/>
                <w:szCs w:val="12"/>
              </w:rPr>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3) отсутствия знаков последней поверки (за исключением новых приборов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5 до 15 рабочих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143A9F" w:rsidRPr="00AE302D" w:rsidRDefault="00143A9F"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37FE7">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Копия паспорта 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110. Подписание акта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D10B1">
            <w:pPr>
              <w:spacing w:after="120" w:line="20" w:lineRule="atLeast"/>
              <w:rPr>
                <w:color w:val="auto"/>
                <w:sz w:val="12"/>
                <w:szCs w:val="12"/>
              </w:rPr>
            </w:pPr>
            <w:r w:rsidRPr="00AE302D">
              <w:rPr>
                <w:color w:val="auto"/>
                <w:sz w:val="12"/>
                <w:szCs w:val="12"/>
              </w:rPr>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143A9F" w:rsidRPr="00AE302D" w:rsidRDefault="00143A9F">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AE302D" w:rsidRDefault="00143A9F">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Газоснабжающая 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t>Кадастровый паспорт на построенный объект недвижимости (</w:t>
            </w:r>
            <w:r w:rsidRPr="00AE302D">
              <w:rPr>
                <w:color w:val="auto"/>
                <w:sz w:val="12"/>
                <w:szCs w:val="12"/>
                <w:u w:val="single"/>
              </w:rPr>
              <w:t>если завершено строительства объекта 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143A9F" w:rsidRPr="00AE302D" w:rsidRDefault="00143A9F">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8"/>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F2" w:rsidRDefault="001411F2" w:rsidP="00430F36">
      <w:r>
        <w:separator/>
      </w:r>
    </w:p>
  </w:endnote>
  <w:endnote w:type="continuationSeparator" w:id="0">
    <w:p w:rsidR="001411F2" w:rsidRDefault="001411F2"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F2" w:rsidRDefault="001411F2" w:rsidP="00430F36">
      <w:r>
        <w:separator/>
      </w:r>
    </w:p>
  </w:footnote>
  <w:footnote w:type="continuationSeparator" w:id="0">
    <w:p w:rsidR="001411F2" w:rsidRDefault="001411F2" w:rsidP="00430F36">
      <w:r>
        <w:continuationSeparator/>
      </w:r>
    </w:p>
  </w:footnote>
  <w:footnote w:id="1">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664EB5" w:rsidRPr="00EB6306" w:rsidRDefault="00664EB5">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664EB5" w:rsidRDefault="00664EB5"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91485"/>
      <w:docPartObj>
        <w:docPartGallery w:val="Page Numbers (Top of Page)"/>
        <w:docPartUnique/>
      </w:docPartObj>
    </w:sdtPr>
    <w:sdtEndPr/>
    <w:sdtContent>
      <w:p w:rsidR="00334939" w:rsidRDefault="00334939">
        <w:pPr>
          <w:pStyle w:val="a7"/>
          <w:jc w:val="center"/>
        </w:pPr>
        <w:r>
          <w:fldChar w:fldCharType="begin"/>
        </w:r>
        <w:r>
          <w:instrText>PAGE   \* MERGEFORMAT</w:instrText>
        </w:r>
        <w:r>
          <w:fldChar w:fldCharType="separate"/>
        </w:r>
        <w:r w:rsidR="007D566A">
          <w:rPr>
            <w:noProof/>
          </w:rPr>
          <w:t>3</w:t>
        </w:r>
        <w:r>
          <w:fldChar w:fldCharType="end"/>
        </w:r>
      </w:p>
    </w:sdtContent>
  </w:sdt>
  <w:p w:rsidR="00334939" w:rsidRDefault="003349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11F2"/>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566A"/>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FBE548E39C4EB45B4D89045B6B5F16B" ma:contentTypeVersion="1" ma:contentTypeDescription="Создание документа." ma:contentTypeScope="" ma:versionID="4351b35a88393802bd44e787546f63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XXJ7TYMEEKJ2-5551-8</_dlc_DocId>
    <_dlc_DocIdUrl xmlns="57504d04-691e-4fc4-8f09-4f19fdbe90f6">
      <Url>http://spsearch.gov.mari.ru:32643/minstroy/_layouts/DocIdRedir.aspx?ID=XXJ7TYMEEKJ2-5551-8</Url>
      <Description>XXJ7TYMEEKJ2-5551-8</Description>
    </_dlc_DocIdUrl>
  </documentManagement>
</p:properties>
</file>

<file path=customXml/itemProps1.xml><?xml version="1.0" encoding="utf-8"?>
<ds:datastoreItem xmlns:ds="http://schemas.openxmlformats.org/officeDocument/2006/customXml" ds:itemID="{F719250B-A096-4924-ADF2-A2F1CB24EC39}"/>
</file>

<file path=customXml/itemProps2.xml><?xml version="1.0" encoding="utf-8"?>
<ds:datastoreItem xmlns:ds="http://schemas.openxmlformats.org/officeDocument/2006/customXml" ds:itemID="{E7648680-5E21-49D3-A8A8-9AF68B96E9D4}"/>
</file>

<file path=customXml/itemProps3.xml><?xml version="1.0" encoding="utf-8"?>
<ds:datastoreItem xmlns:ds="http://schemas.openxmlformats.org/officeDocument/2006/customXml" ds:itemID="{55F5DB69-A6E4-402A-9AD7-053B6F07F7C6}"/>
</file>

<file path=customXml/itemProps4.xml><?xml version="1.0" encoding="utf-8"?>
<ds:datastoreItem xmlns:ds="http://schemas.openxmlformats.org/officeDocument/2006/customXml" ds:itemID="{A3645EC5-02CE-4474-8123-52F60C3EF8CB}"/>
</file>

<file path=customXml/itemProps5.xml><?xml version="1.0" encoding="utf-8"?>
<ds:datastoreItem xmlns:ds="http://schemas.openxmlformats.org/officeDocument/2006/customXml" ds:itemID="{A4119551-088C-4A60-A1D8-04766E8773EA}"/>
</file>

<file path=docProps/app.xml><?xml version="1.0" encoding="utf-8"?>
<Properties xmlns="http://schemas.openxmlformats.org/officeDocument/2006/extended-properties" xmlns:vt="http://schemas.openxmlformats.org/officeDocument/2006/docPropsVTypes">
  <Template>Normal</Template>
  <TotalTime>0</TotalTime>
  <Pages>4</Pages>
  <Words>52982</Words>
  <Characters>302004</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описаний процедур (раздел I) на 01.07.2015</dc:title>
  <dc:creator>Кирилл Холопик</dc:creator>
  <cp:lastModifiedBy>Ятманова О.Е.</cp:lastModifiedBy>
  <cp:revision>2</cp:revision>
  <cp:lastPrinted>2015-06-27T08:39:00Z</cp:lastPrinted>
  <dcterms:created xsi:type="dcterms:W3CDTF">2015-11-06T06:56:00Z</dcterms:created>
  <dcterms:modified xsi:type="dcterms:W3CDTF">2015-11-06T06:56:00Z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0x010100CFBE548E39C4EB45B4D89045B6B5F16B</vt:lpwstr>
  </property>
  <property fmtid="{D5CDD505-2E9C-101B-9397-08002B2CF9AE}" pid="3" name="_dlc_DocIdItemGuid">
    <vt:lpwstr>7003d206-0111-49f0-823d-a6a9726c93b5</vt:lpwstr>
  </property>
</Properties>
</file>