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B7A64" w:rsidRPr="000B7A64" w:rsidRDefault="000B7A64">
      <w:pPr>
        <w:pStyle w:val="1"/>
        <w:rPr>
          <w:rFonts w:ascii="Times New Roman" w:hAnsi="Times New Roman" w:cs="Times New Roman"/>
          <w:sz w:val="25"/>
          <w:szCs w:val="25"/>
        </w:rPr>
      </w:pPr>
      <w:r w:rsidRPr="000B7A64">
        <w:rPr>
          <w:rFonts w:ascii="Times New Roman" w:hAnsi="Times New Roman" w:cs="Times New Roman"/>
          <w:sz w:val="25"/>
          <w:szCs w:val="25"/>
        </w:rPr>
        <w:fldChar w:fldCharType="begin"/>
      </w:r>
      <w:r w:rsidRPr="000B7A64">
        <w:rPr>
          <w:rFonts w:ascii="Times New Roman" w:hAnsi="Times New Roman" w:cs="Times New Roman"/>
          <w:sz w:val="25"/>
          <w:szCs w:val="25"/>
        </w:rPr>
        <w:instrText>HYPERLINK "garantF1://70138018.0"</w:instrText>
      </w:r>
      <w:r w:rsidRPr="000B7A64">
        <w:rPr>
          <w:rFonts w:ascii="Times New Roman" w:hAnsi="Times New Roman" w:cs="Times New Roman"/>
          <w:sz w:val="25"/>
          <w:szCs w:val="25"/>
        </w:rPr>
      </w:r>
      <w:r w:rsidRPr="000B7A64">
        <w:rPr>
          <w:rFonts w:ascii="Times New Roman" w:hAnsi="Times New Roman" w:cs="Times New Roman"/>
          <w:sz w:val="25"/>
          <w:szCs w:val="25"/>
        </w:rPr>
        <w:fldChar w:fldCharType="separate"/>
      </w:r>
      <w:r w:rsidRPr="000B7A64">
        <w:rPr>
          <w:rStyle w:val="a4"/>
          <w:rFonts w:ascii="Times New Roman" w:hAnsi="Times New Roman" w:cs="Times New Roman"/>
          <w:sz w:val="25"/>
          <w:szCs w:val="25"/>
        </w:rPr>
        <w:t>Разъяснения Министерства труда и социальной защиты РФ от 5 октября 2012 г.</w:t>
      </w:r>
      <w:r w:rsidRPr="000B7A64">
        <w:rPr>
          <w:rStyle w:val="a4"/>
          <w:rFonts w:ascii="Times New Roman" w:hAnsi="Times New Roman" w:cs="Times New Roman"/>
          <w:sz w:val="25"/>
          <w:szCs w:val="25"/>
        </w:rPr>
        <w:br/>
        <w:t>"Обзор проблемных вопросов, возникающих при заполнении справок о доходах, об имуществе и обязательствах имущественного характера"</w:t>
      </w:r>
      <w:r w:rsidRPr="000B7A64">
        <w:rPr>
          <w:rFonts w:ascii="Times New Roman" w:hAnsi="Times New Roman" w:cs="Times New Roman"/>
          <w:sz w:val="25"/>
          <w:szCs w:val="25"/>
        </w:rPr>
        <w:fldChar w:fldCharType="end"/>
      </w:r>
    </w:p>
    <w:p w:rsidR="000B7A64" w:rsidRPr="000B7A64" w:rsidRDefault="000B7A64">
      <w:pPr>
        <w:ind w:firstLine="720"/>
        <w:jc w:val="both"/>
        <w:rPr>
          <w:rFonts w:ascii="Times New Roman" w:hAnsi="Times New Roman" w:cs="Times New Roman"/>
          <w:sz w:val="25"/>
          <w:szCs w:val="25"/>
        </w:rPr>
      </w:pP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Порядок заполнения раздела 1 "Сведения о доходах".</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Заполнение данного раздела предусматривает предоставление сведений о доходах, полученных за отчетный период (с 1 января по 31 декабря) от источников в Российской Федерации, за пределами Российской Федерации, включая пособия, получаемые служащим на ребенка, алименты, пенсии и иные социальные выплаты, субсидии на приобретение жилого помещения, проценты на вклады.</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Понятие "доход" применяется в том значении, в каком используется в гражданском, финансовом, налоговом и других отраслях законодательства.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Налоговым кодексом Российской Федерации (</w:t>
      </w:r>
      <w:hyperlink r:id="rId4" w:history="1">
        <w:r w:rsidRPr="000B7A64">
          <w:rPr>
            <w:rStyle w:val="a4"/>
            <w:rFonts w:ascii="Times New Roman" w:hAnsi="Times New Roman" w:cs="Times New Roman"/>
            <w:sz w:val="25"/>
            <w:szCs w:val="25"/>
          </w:rPr>
          <w:t>статья 41</w:t>
        </w:r>
      </w:hyperlink>
      <w:r w:rsidRPr="000B7A64">
        <w:rPr>
          <w:rFonts w:ascii="Times New Roman" w:hAnsi="Times New Roman" w:cs="Times New Roman"/>
          <w:sz w:val="25"/>
          <w:szCs w:val="25"/>
        </w:rPr>
        <w:t xml:space="preserve"> Налогового кодекса Российской Федерации).</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Указываются доходы:</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 xml:space="preserve">- по основному месту работы (общая сумма дохода, содержащаяся в </w:t>
      </w:r>
      <w:hyperlink r:id="rId5" w:history="1">
        <w:r w:rsidRPr="000B7A64">
          <w:rPr>
            <w:rStyle w:val="a4"/>
            <w:rFonts w:ascii="Times New Roman" w:hAnsi="Times New Roman" w:cs="Times New Roman"/>
            <w:sz w:val="25"/>
            <w:szCs w:val="25"/>
          </w:rPr>
          <w:t>справке</w:t>
        </w:r>
      </w:hyperlink>
      <w:r w:rsidRPr="000B7A64">
        <w:rPr>
          <w:rFonts w:ascii="Times New Roman" w:hAnsi="Times New Roman" w:cs="Times New Roman"/>
          <w:sz w:val="25"/>
          <w:szCs w:val="25"/>
        </w:rPr>
        <w:t xml:space="preserve"> N 2НДФЛ по месту службы);</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 xml:space="preserve">- от педагогической деятельности (общая сумма дохода, содержащаяся в </w:t>
      </w:r>
      <w:hyperlink r:id="rId6" w:history="1">
        <w:r w:rsidRPr="000B7A64">
          <w:rPr>
            <w:rStyle w:val="a4"/>
            <w:rFonts w:ascii="Times New Roman" w:hAnsi="Times New Roman" w:cs="Times New Roman"/>
            <w:sz w:val="25"/>
            <w:szCs w:val="25"/>
          </w:rPr>
          <w:t>справке</w:t>
        </w:r>
      </w:hyperlink>
      <w:r w:rsidRPr="000B7A64">
        <w:rPr>
          <w:rFonts w:ascii="Times New Roman" w:hAnsi="Times New Roman" w:cs="Times New Roman"/>
          <w:sz w:val="25"/>
          <w:szCs w:val="25"/>
        </w:rPr>
        <w:t xml:space="preserve"> N 2НДФЛ по месту преподавания);</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 от иной творческой деятельности (доходы от создания литературных произведений, фоторабот для печати, произведений архитектуры и дизайна; создания произведений скульптуры; создания аудиовизуальных произведений (видео-, теле- и кинофильмов); создание музыкальных произведений и др.);</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 от вкладов в банках и иных кредитных организациях (доход от денежных средств в валюте Российской Федерации или иностранной валюте, размещаемых служащим в целях хранения и получения дохода, от вклада в золото в банке);</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 от ценных бумаг и долей участия в коммерческих организациях, включающие:</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дивиденды, полученные служащим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 иные доходы:</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вознаграждение за выполнение трудовых или иных обязанностей, выполненную работу, оказанную услугу;</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 xml:space="preserve">пенсии, пособия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стипендии, единовременная субсидия на приобретение жилого помещения (указывается в тот отчетный период, в котором денежные средства перечислены со счета </w:t>
      </w:r>
      <w:hyperlink r:id="rId7" w:history="1">
        <w:r w:rsidRPr="000B7A64">
          <w:rPr>
            <w:rStyle w:val="a4"/>
            <w:rFonts w:ascii="Times New Roman" w:hAnsi="Times New Roman" w:cs="Times New Roman"/>
            <w:sz w:val="25"/>
            <w:szCs w:val="25"/>
          </w:rPr>
          <w:t>N 40302</w:t>
        </w:r>
      </w:hyperlink>
      <w:r w:rsidRPr="000B7A64">
        <w:rPr>
          <w:rFonts w:ascii="Times New Roman" w:hAnsi="Times New Roman" w:cs="Times New Roman"/>
          <w:sz w:val="25"/>
          <w:szCs w:val="25"/>
        </w:rPr>
        <w:t xml:space="preserve"> на счет продавца) и иные аналогичные </w:t>
      </w:r>
      <w:r w:rsidRPr="000B7A64">
        <w:rPr>
          <w:rFonts w:ascii="Times New Roman" w:hAnsi="Times New Roman" w:cs="Times New Roman"/>
          <w:sz w:val="25"/>
          <w:szCs w:val="25"/>
        </w:rPr>
        <w:lastRenderedPageBreak/>
        <w:t>выплаты, полученные служащим;</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доходы подопечного, в том числе суммы алиментов, пенсий, пособий и иных предоставляемых на его содержание социальных выплат, которые расходуются служащим, являющемся опекуном или попечителем;</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государственный сертификат на материнский (семейный) капитал;</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социальные выплаты в денежной форме (замена скидок по оплате жилого помещения, коммунальных услуг и услуг связи), представляемые отдельным категориям граждан;</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денежные средства, выплаченные (перечисленные на счет) взамен выдачи полагающегося натурального довольствия;</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доходы, полученные от сдачи в аренду или иного использования имущества;</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доходы от реализации недвижимого и иного имущества, принадлежащего служащему, акций или иных ценных бумаг, а также долей участия в уставном капитале организаций;</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 xml:space="preserve">выплаты государственному служащему, являющемуся правопреемником умерших застрахованных лиц в случаях, предусмотренных </w:t>
      </w:r>
      <w:hyperlink r:id="rId8" w:history="1">
        <w:r w:rsidRPr="000B7A64">
          <w:rPr>
            <w:rStyle w:val="a4"/>
            <w:rFonts w:ascii="Times New Roman" w:hAnsi="Times New Roman" w:cs="Times New Roman"/>
            <w:sz w:val="25"/>
            <w:szCs w:val="25"/>
          </w:rPr>
          <w:t>законодательством</w:t>
        </w:r>
      </w:hyperlink>
      <w:r w:rsidRPr="000B7A64">
        <w:rPr>
          <w:rFonts w:ascii="Times New Roman" w:hAnsi="Times New Roman" w:cs="Times New Roman"/>
          <w:sz w:val="25"/>
          <w:szCs w:val="25"/>
        </w:rPr>
        <w:t xml:space="preserve"> Российской Федерации об обязательном пенсионном страховании.</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Не подлежат указанию в разделе I справки следующие виды доходов:</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 возмещенные суммы расходов, связанных со служебными командировками;</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 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 сумма социального и имущественного налогового вычета, получаемая государственным служащим как налогоплательщиком.</w:t>
      </w:r>
    </w:p>
    <w:p w:rsidR="000B7A64" w:rsidRPr="000B7A64" w:rsidRDefault="000B7A64">
      <w:pPr>
        <w:ind w:firstLine="720"/>
        <w:jc w:val="both"/>
        <w:rPr>
          <w:rFonts w:ascii="Times New Roman" w:hAnsi="Times New Roman" w:cs="Times New Roman"/>
          <w:sz w:val="25"/>
          <w:szCs w:val="25"/>
        </w:rPr>
      </w:pP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Порядок заполнения раздела 2 "Сведения об имуществе".</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Подраздел 2.1. Недвижимое имущество.</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При заполнении данного подраздела указываются все объекты недвижимости, принадлежащие государственному служащему на праве собственности, независимо от того, когда они были приобретены, в каком регионе Российской Федерации или каком государстве зарегистрированы.</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Подраздел 2.2.Транспортные средства.</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В данном подразделе указываются сведения о транспортных средствах, находящихся в собственности - легковые и грузовые автомобили, автоприцепы, мототранспортные средства, сельскохозяйственная техника, водный транспорт, воздушный транспорт и иные транспортные средств, независимо от того, когда они были приобретены, в каком регионе Российской Федерации или каком государстве зарегистрированы.</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Также следует перечислить все транспортные средства, по которым зарегистрировано право собственности, включая находящиеся в угоне, полностью негодные к эксплуатации, снятые с регистрационного учета и т.д.</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Дата производства (выпуска)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w:t>
      </w:r>
    </w:p>
    <w:p w:rsidR="000B7A64" w:rsidRPr="000B7A64" w:rsidRDefault="000B7A64">
      <w:pPr>
        <w:ind w:firstLine="720"/>
        <w:jc w:val="both"/>
        <w:rPr>
          <w:rFonts w:ascii="Times New Roman" w:hAnsi="Times New Roman" w:cs="Times New Roman"/>
          <w:sz w:val="25"/>
          <w:szCs w:val="25"/>
        </w:rPr>
      </w:pP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Порядок заполнения раздела 3 "Сведения о денежных средствах, находящихся на счетах в банках и иных кредитных организациях".</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 xml:space="preserve">Информация, необходимая для заполнения данного раздела, содержится в договоре банковского вклада, который в соответствии с </w:t>
      </w:r>
      <w:hyperlink r:id="rId9" w:history="1">
        <w:r w:rsidRPr="000B7A64">
          <w:rPr>
            <w:rStyle w:val="a4"/>
            <w:rFonts w:ascii="Times New Roman" w:hAnsi="Times New Roman" w:cs="Times New Roman"/>
            <w:sz w:val="25"/>
            <w:szCs w:val="25"/>
          </w:rPr>
          <w:t>Гражданским кодексом</w:t>
        </w:r>
      </w:hyperlink>
      <w:r w:rsidRPr="000B7A64">
        <w:rPr>
          <w:rFonts w:ascii="Times New Roman" w:hAnsi="Times New Roman" w:cs="Times New Roman"/>
          <w:sz w:val="25"/>
          <w:szCs w:val="25"/>
        </w:rPr>
        <w:t xml:space="preserve"> Российской Федерации должен быть заключен в письменной форме. 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Государственные служащие, являющиеся держателями зарплатных карт, указывают их в данном подразделе, отражая соответственно наименование и адрес банка или иной кредитной организации, вид и валюту счета, дату открытия счета, номер счета и остаток на карте по состоянию на 31 декабря отчетного года.</w:t>
      </w:r>
    </w:p>
    <w:p w:rsidR="000B7A64" w:rsidRPr="000B7A64" w:rsidRDefault="000B7A64">
      <w:pPr>
        <w:ind w:firstLine="720"/>
        <w:jc w:val="both"/>
        <w:rPr>
          <w:rFonts w:ascii="Times New Roman" w:hAnsi="Times New Roman" w:cs="Times New Roman"/>
          <w:sz w:val="25"/>
          <w:szCs w:val="25"/>
        </w:rPr>
      </w:pP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Порядок заполнения раздела 4 "Сведения о ценных бумагах".</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При заполнении данного раздела необходимо учитывать следующее.</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Акция -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Видами ценных бумаг являются облигации, банковские сберегательные сертификаты, векселя (простые и переводные), чеки, закладные, паи.</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Обращаем внимание, что государственный служащий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При принятии комиссией по соблюдению требований к служебному поведению и урегулированию конфликта интересов, руководителем государственного органа решения о необходимости передачи государственным служащим ценных бумаг, акций (долей участия, паев в уставных (складочных) капиталах организаций) в доверительное управление, передача указанных ценных бумаг производится в соответствии с Гражданским кодексом Российской Федерации на основании договора доверительного управления имуществом.</w:t>
      </w:r>
    </w:p>
    <w:p w:rsidR="000B7A64" w:rsidRPr="000B7A64" w:rsidRDefault="000B7A64">
      <w:pPr>
        <w:ind w:firstLine="720"/>
        <w:jc w:val="both"/>
        <w:rPr>
          <w:rFonts w:ascii="Times New Roman" w:hAnsi="Times New Roman" w:cs="Times New Roman"/>
          <w:sz w:val="25"/>
          <w:szCs w:val="25"/>
        </w:rPr>
      </w:pP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Порядок заполнения раздела 5 "Сведения об обязательствах имущественного характера".</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Подраздел 5.1. Объекты недвижимого имущества, находящиеся в пользовании.</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Указывается недвижимое имущество (муниципальное, ведомственное, арендованное и т.п.), находящееся во временном пользовании (не в собственности) служащего, а также основание пользования (договор аренды, фактическое предоставление и другие). При этом указывается общая площадь объекта недвижимого имущества, находящегося в пользовании.</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Данный подраздел заполняется в обязательном порядке теми государственными служащими, которые по месту прохождения службы (например, в соответствующем субъекте Российской Федерации) имеют временную регистрацию.</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Подлежат указанию сведения:</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о квартирах, занимаемых по договору аренды (найма, поднайма) жилого помещения;</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о квартирах, занимаемых по договорам социального найма.</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В подразделе 5.1 не указывается имущество, которое находится в собственности и указано в подразделе 2.1 справки.</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Сведения об объекте недвижимого имущества, находящемся в долевой собственности государственного служащего (1/2 доля квартиры) и члена его семьи (1/2 доля квартиры), отражаются в подразделе 2.1. "Недвижимое имущество" справки (с указанием доли) государственного служащего и члена его семьи. При этом сведения о том, что государственный служащий пользуется долей (1/2) объекта недвижимого имущества, не принадлежащей ему на праве собственности, в подраздел 5.1 не вносятся.</w:t>
      </w:r>
    </w:p>
    <w:p w:rsidR="000B7A64" w:rsidRPr="000B7A64" w:rsidRDefault="000B7A64">
      <w:pPr>
        <w:ind w:firstLine="720"/>
        <w:jc w:val="both"/>
        <w:rPr>
          <w:rFonts w:ascii="Times New Roman" w:hAnsi="Times New Roman" w:cs="Times New Roman"/>
          <w:sz w:val="25"/>
          <w:szCs w:val="25"/>
        </w:rPr>
      </w:pP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Подраздел 5.2. Прочие обязательства.</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 xml:space="preserve">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461 100 рублей. В соответствии со </w:t>
      </w:r>
      <w:hyperlink r:id="rId10" w:history="1">
        <w:r w:rsidRPr="000B7A64">
          <w:rPr>
            <w:rStyle w:val="a4"/>
            <w:rFonts w:ascii="Times New Roman" w:hAnsi="Times New Roman" w:cs="Times New Roman"/>
            <w:sz w:val="25"/>
            <w:szCs w:val="25"/>
          </w:rPr>
          <w:t>статьей 1</w:t>
        </w:r>
      </w:hyperlink>
      <w:r w:rsidRPr="000B7A64">
        <w:rPr>
          <w:rFonts w:ascii="Times New Roman" w:hAnsi="Times New Roman" w:cs="Times New Roman"/>
          <w:sz w:val="25"/>
          <w:szCs w:val="25"/>
        </w:rPr>
        <w:t xml:space="preserve"> Федерального закона от 19 июня 2000 г. N 82-ФЗ "О минимальном размере оплаты труда" минимальный размер оплаты труда с 1 июня 2011 года составляет 4 611 рублей в месяц (по состоянию на 1 января 2012 года).</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Подлежат указанию:</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договоры о предоставлении кредитов, в том числе при наличии у служащего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461,0 тыс. рублей);</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договоры финансовой аренды;</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договоры займа;</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договоры финансирования под уступку денежного требования;</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обязательства вследствие причинения вреда (финансовые) и т.д.</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В графе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сторона обязательства - кредитор, например: ОАО "Сбербанк России".</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Дополнительно сообщаем.</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В случае если служащий по объективным причинам не может представить сведений о доходах, об имуществе и обязательствах имущественного характера супруги (супруга) и несовершеннолетних детей, ему следует направить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заявление, в котором указать причины непредставления необходимых сведений (раздельное проживание и т.д.). Данный факт подлежит рассмотрению на комиссии по соблюдению требований к служебному поведению и урегулированию конфликта интересов, созданной в каждом федеральном государственном органе.</w:t>
      </w:r>
    </w:p>
    <w:p w:rsidR="000B7A64" w:rsidRPr="000B7A64" w:rsidRDefault="000B7A64">
      <w:pPr>
        <w:ind w:firstLine="720"/>
        <w:jc w:val="both"/>
        <w:rPr>
          <w:rFonts w:ascii="Times New Roman" w:hAnsi="Times New Roman" w:cs="Times New Roman"/>
          <w:sz w:val="25"/>
          <w:szCs w:val="25"/>
        </w:rPr>
      </w:pPr>
      <w:r w:rsidRPr="000B7A64">
        <w:rPr>
          <w:rFonts w:ascii="Times New Roman" w:hAnsi="Times New Roman" w:cs="Times New Roman"/>
          <w:sz w:val="25"/>
          <w:szCs w:val="25"/>
        </w:rPr>
        <w:t>В случае если по состоянию на конец отчетного периода ребенок государственного служащего является совершеннолетним, справка на него не представляется.</w:t>
      </w:r>
    </w:p>
    <w:p w:rsidR="000B7A64" w:rsidRPr="000B7A64" w:rsidRDefault="000B7A64">
      <w:pPr>
        <w:ind w:firstLine="720"/>
        <w:jc w:val="both"/>
        <w:rPr>
          <w:rFonts w:ascii="Times New Roman" w:hAnsi="Times New Roman" w:cs="Times New Roman"/>
          <w:sz w:val="25"/>
          <w:szCs w:val="25"/>
        </w:rPr>
      </w:pPr>
    </w:p>
    <w:sectPr w:rsidR="000B7A64" w:rsidRPr="000B7A64">
      <w:pgSz w:w="11900" w:h="16800"/>
      <w:pgMar w:top="1134" w:right="800" w:bottom="1134"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D6"/>
    <w:rsid w:val="00044ED6"/>
    <w:rsid w:val="000B7A64"/>
    <w:rsid w:val="00891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7957E38-E091-44C4-A37C-E81DCAB2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000080"/>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a3">
    <w:name w:val="Цветовое выделение"/>
    <w:uiPriority w:val="99"/>
    <w:rPr>
      <w:b/>
      <w:bCs/>
      <w:color w:val="000080"/>
    </w:rPr>
  </w:style>
  <w:style w:type="character" w:customStyle="1" w:styleId="a4">
    <w:name w:val="Гипертекстовая ссылка"/>
    <w:basedOn w:val="a3"/>
    <w:uiPriority w:val="99"/>
    <w:rPr>
      <w:b w:val="0"/>
      <w:bCs w:val="0"/>
      <w:color w:val="008000"/>
    </w:rPr>
  </w:style>
  <w:style w:type="character" w:customStyle="1" w:styleId="a5">
    <w:name w:val="Активная гипертекстовая ссылка"/>
    <w:basedOn w:val="a4"/>
    <w:uiPriority w:val="99"/>
    <w:rPr>
      <w:b w:val="0"/>
      <w:bCs w:val="0"/>
      <w:color w:val="008000"/>
      <w:u w:val="single"/>
    </w:rPr>
  </w:style>
  <w:style w:type="paragraph" w:customStyle="1" w:styleId="a6">
    <w:name w:val="Внимание: криминал!!"/>
    <w:basedOn w:val="a"/>
    <w:next w:val="a"/>
    <w:uiPriority w:val="99"/>
    <w:pPr>
      <w:jc w:val="both"/>
    </w:pPr>
  </w:style>
  <w:style w:type="paragraph" w:customStyle="1" w:styleId="a7">
    <w:name w:val="Внимание: недобросовестность!"/>
    <w:basedOn w:val="a"/>
    <w:next w:val="a"/>
    <w:uiPriority w:val="99"/>
    <w:pPr>
      <w:jc w:val="both"/>
    </w:pPr>
  </w:style>
  <w:style w:type="character" w:customStyle="1" w:styleId="a8">
    <w:name w:val="Выделение для Базового Поиска"/>
    <w:basedOn w:val="a3"/>
    <w:uiPriority w:val="99"/>
    <w:rPr>
      <w:b w:val="0"/>
      <w:bCs w:val="0"/>
      <w:color w:val="0058A9"/>
    </w:rPr>
  </w:style>
  <w:style w:type="character" w:customStyle="1" w:styleId="a9">
    <w:name w:val="Выделение для Базового Поиска (курсив)"/>
    <w:basedOn w:val="a8"/>
    <w:uiPriority w:val="99"/>
    <w:rPr>
      <w:b w:val="0"/>
      <w:bCs w:val="0"/>
      <w:i/>
      <w:iCs/>
      <w:color w:val="0058A9"/>
    </w:rPr>
  </w:style>
  <w:style w:type="paragraph" w:customStyle="1" w:styleId="aa">
    <w:name w:val="Основное меню (преемственное)"/>
    <w:basedOn w:val="a"/>
    <w:next w:val="a"/>
    <w:uiPriority w:val="99"/>
    <w:pPr>
      <w:jc w:val="both"/>
    </w:pPr>
    <w:rPr>
      <w:rFonts w:ascii="Verdana" w:hAnsi="Verdana" w:cs="Verdana"/>
    </w:rPr>
  </w:style>
  <w:style w:type="paragraph" w:customStyle="1" w:styleId="ab">
    <w:name w:val="Заголовок"/>
    <w:basedOn w:val="aa"/>
    <w:next w:val="a"/>
    <w:uiPriority w:val="99"/>
    <w:rPr>
      <w:rFonts w:ascii="Arial" w:hAnsi="Arial" w:cs="Arial"/>
      <w:b/>
      <w:bCs/>
      <w:color w:val="0058A9"/>
      <w:shd w:val="clear" w:color="auto" w:fill="ECE9D8"/>
    </w:rPr>
  </w:style>
  <w:style w:type="paragraph" w:customStyle="1" w:styleId="ac">
    <w:name w:val="Заголовок группы контролов"/>
    <w:basedOn w:val="a"/>
    <w:next w:val="a"/>
    <w:uiPriority w:val="99"/>
    <w:pPr>
      <w:jc w:val="both"/>
    </w:pPr>
    <w:rPr>
      <w:b/>
      <w:bCs/>
      <w:color w:val="000000"/>
    </w:rPr>
  </w:style>
  <w:style w:type="paragraph" w:customStyle="1" w:styleId="ad">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e">
    <w:name w:val="Заголовок приложения"/>
    <w:basedOn w:val="a"/>
    <w:next w:val="a"/>
    <w:uiPriority w:val="99"/>
    <w:pPr>
      <w:jc w:val="right"/>
    </w:pPr>
  </w:style>
  <w:style w:type="paragraph" w:customStyle="1" w:styleId="af">
    <w:name w:val="Заголовок распахивающейся части диалога"/>
    <w:basedOn w:val="a"/>
    <w:next w:val="a"/>
    <w:uiPriority w:val="99"/>
    <w:pPr>
      <w:jc w:val="both"/>
    </w:pPr>
    <w:rPr>
      <w:i/>
      <w:iCs/>
      <w:color w:val="000080"/>
    </w:rPr>
  </w:style>
  <w:style w:type="character" w:customStyle="1" w:styleId="af0">
    <w:name w:val="Заголовок своего сообщения"/>
    <w:basedOn w:val="a3"/>
    <w:uiPriority w:val="99"/>
    <w:rPr>
      <w:b w:val="0"/>
      <w:bCs w:val="0"/>
      <w:color w:val="000080"/>
    </w:rPr>
  </w:style>
  <w:style w:type="paragraph" w:customStyle="1" w:styleId="af1">
    <w:name w:val="Заголовок статьи"/>
    <w:basedOn w:val="a"/>
    <w:next w:val="a"/>
    <w:uiPriority w:val="99"/>
    <w:pPr>
      <w:ind w:left="1612" w:hanging="892"/>
      <w:jc w:val="both"/>
    </w:pPr>
  </w:style>
  <w:style w:type="character" w:customStyle="1" w:styleId="af2">
    <w:name w:val="Заголовок чужого сообщения"/>
    <w:basedOn w:val="a3"/>
    <w:uiPriority w:val="99"/>
    <w:rPr>
      <w:b w:val="0"/>
      <w:bCs w:val="0"/>
      <w:color w:val="FF0000"/>
    </w:rPr>
  </w:style>
  <w:style w:type="paragraph" w:customStyle="1" w:styleId="af3">
    <w:name w:val="Интерактивный заголовок"/>
    <w:basedOn w:val="ab"/>
    <w:next w:val="a"/>
    <w:uiPriority w:val="99"/>
    <w:rPr>
      <w:b w:val="0"/>
      <w:bCs w:val="0"/>
      <w:color w:val="auto"/>
      <w:u w:val="single"/>
      <w:shd w:val="clear" w:color="auto" w:fill="auto"/>
    </w:rPr>
  </w:style>
  <w:style w:type="paragraph" w:customStyle="1" w:styleId="af4">
    <w:name w:val="Текст информации об изменениях"/>
    <w:basedOn w:val="a"/>
    <w:next w:val="a"/>
    <w:uiPriority w:val="99"/>
    <w:pPr>
      <w:jc w:val="both"/>
    </w:pPr>
    <w:rPr>
      <w:sz w:val="20"/>
      <w:szCs w:val="20"/>
    </w:rPr>
  </w:style>
  <w:style w:type="paragraph" w:customStyle="1" w:styleId="af5">
    <w:name w:val="Информация об изменениях"/>
    <w:basedOn w:val="af4"/>
    <w:next w:val="a"/>
    <w:uiPriority w:val="99"/>
    <w:pPr>
      <w:spacing w:before="180"/>
      <w:ind w:left="360" w:right="360"/>
    </w:pPr>
    <w:rPr>
      <w:sz w:val="24"/>
      <w:szCs w:val="24"/>
      <w:shd w:val="clear" w:color="auto" w:fill="EAEFED"/>
    </w:rPr>
  </w:style>
  <w:style w:type="paragraph" w:customStyle="1" w:styleId="af6">
    <w:name w:val="Текст (справка)"/>
    <w:basedOn w:val="a"/>
    <w:next w:val="a"/>
    <w:uiPriority w:val="99"/>
    <w:pPr>
      <w:ind w:left="170" w:right="170"/>
    </w:pPr>
  </w:style>
  <w:style w:type="paragraph" w:customStyle="1" w:styleId="af7">
    <w:name w:val="Комментарий"/>
    <w:basedOn w:val="af6"/>
    <w:next w:val="a"/>
    <w:uiPriority w:val="99"/>
    <w:pPr>
      <w:spacing w:before="75"/>
      <w:ind w:left="0" w:right="0"/>
      <w:jc w:val="both"/>
    </w:pPr>
    <w:rPr>
      <w:i/>
      <w:iCs/>
      <w:color w:val="800080"/>
    </w:rPr>
  </w:style>
  <w:style w:type="paragraph" w:customStyle="1" w:styleId="af8">
    <w:name w:val="Информация об изменениях документа"/>
    <w:basedOn w:val="af7"/>
    <w:next w:val="a"/>
    <w:uiPriority w:val="99"/>
    <w:pPr>
      <w:spacing w:before="0"/>
    </w:pPr>
  </w:style>
  <w:style w:type="paragraph" w:customStyle="1" w:styleId="af9">
    <w:name w:val="Текст (лев. подпись)"/>
    <w:basedOn w:val="a"/>
    <w:next w:val="a"/>
    <w:uiPriority w:val="99"/>
  </w:style>
  <w:style w:type="paragraph" w:customStyle="1" w:styleId="afa">
    <w:name w:val="Колонтитул (левый)"/>
    <w:basedOn w:val="af9"/>
    <w:next w:val="a"/>
    <w:uiPriority w:val="99"/>
    <w:pPr>
      <w:jc w:val="both"/>
    </w:pPr>
    <w:rPr>
      <w:sz w:val="16"/>
      <w:szCs w:val="16"/>
    </w:rPr>
  </w:style>
  <w:style w:type="paragraph" w:customStyle="1" w:styleId="afb">
    <w:name w:val="Текст (прав. подпись)"/>
    <w:basedOn w:val="a"/>
    <w:next w:val="a"/>
    <w:uiPriority w:val="99"/>
    <w:pPr>
      <w:jc w:val="right"/>
    </w:pPr>
  </w:style>
  <w:style w:type="paragraph" w:customStyle="1" w:styleId="afc">
    <w:name w:val="Колонтитул (правый)"/>
    <w:basedOn w:val="afb"/>
    <w:next w:val="a"/>
    <w:uiPriority w:val="99"/>
    <w:pPr>
      <w:jc w:val="both"/>
    </w:pPr>
    <w:rPr>
      <w:sz w:val="16"/>
      <w:szCs w:val="16"/>
    </w:rPr>
  </w:style>
  <w:style w:type="paragraph" w:customStyle="1" w:styleId="afd">
    <w:name w:val="Комментарий пользователя"/>
    <w:basedOn w:val="af7"/>
    <w:next w:val="a"/>
    <w:uiPriority w:val="99"/>
    <w:pPr>
      <w:spacing w:before="0"/>
      <w:jc w:val="left"/>
    </w:pPr>
    <w:rPr>
      <w:i w:val="0"/>
      <w:iCs w:val="0"/>
      <w:color w:val="000080"/>
    </w:rPr>
  </w:style>
  <w:style w:type="paragraph" w:customStyle="1" w:styleId="afe">
    <w:name w:val="Куда обратиться?"/>
    <w:basedOn w:val="a"/>
    <w:next w:val="a"/>
    <w:uiPriority w:val="99"/>
    <w:pPr>
      <w:jc w:val="both"/>
    </w:pPr>
  </w:style>
  <w:style w:type="paragraph" w:customStyle="1" w:styleId="aff">
    <w:name w:val="Моноширинный"/>
    <w:basedOn w:val="a"/>
    <w:next w:val="a"/>
    <w:uiPriority w:val="99"/>
    <w:pPr>
      <w:jc w:val="both"/>
    </w:pPr>
    <w:rPr>
      <w:rFonts w:ascii="Courier New" w:hAnsi="Courier New" w:cs="Courier New"/>
    </w:rPr>
  </w:style>
  <w:style w:type="character" w:customStyle="1" w:styleId="aff0">
    <w:name w:val="Найденные слова"/>
    <w:basedOn w:val="a3"/>
    <w:uiPriority w:val="99"/>
    <w:rPr>
      <w:b w:val="0"/>
      <w:bCs w:val="0"/>
      <w:color w:val="000080"/>
      <w:shd w:val="clear" w:color="auto" w:fill="auto"/>
    </w:rPr>
  </w:style>
  <w:style w:type="character" w:customStyle="1" w:styleId="aff1">
    <w:name w:val="Не вступил в силу"/>
    <w:basedOn w:val="a3"/>
    <w:uiPriority w:val="99"/>
    <w:rPr>
      <w:b w:val="0"/>
      <w:bCs w:val="0"/>
      <w:color w:val="008080"/>
    </w:rPr>
  </w:style>
  <w:style w:type="paragraph" w:customStyle="1" w:styleId="aff2">
    <w:name w:val="Необходимые документы"/>
    <w:basedOn w:val="a"/>
    <w:next w:val="a"/>
    <w:uiPriority w:val="99"/>
    <w:pPr>
      <w:ind w:left="118"/>
      <w:jc w:val="both"/>
    </w:pPr>
  </w:style>
  <w:style w:type="paragraph" w:customStyle="1" w:styleId="aff3">
    <w:name w:val="Нормальный (таблица)"/>
    <w:basedOn w:val="a"/>
    <w:next w:val="a"/>
    <w:uiPriority w:val="99"/>
    <w:pPr>
      <w:jc w:val="both"/>
    </w:pPr>
  </w:style>
  <w:style w:type="paragraph" w:customStyle="1" w:styleId="aff4">
    <w:name w:val="Объект"/>
    <w:basedOn w:val="a"/>
    <w:next w:val="a"/>
    <w:uiPriority w:val="99"/>
    <w:pPr>
      <w:jc w:val="both"/>
    </w:pPr>
  </w:style>
  <w:style w:type="paragraph" w:customStyle="1" w:styleId="aff5">
    <w:name w:val="Таблицы (моноширинный)"/>
    <w:basedOn w:val="a"/>
    <w:next w:val="a"/>
    <w:uiPriority w:val="99"/>
    <w:pPr>
      <w:jc w:val="both"/>
    </w:pPr>
    <w:rPr>
      <w:rFonts w:ascii="Courier New" w:hAnsi="Courier New" w:cs="Courier New"/>
    </w:rPr>
  </w:style>
  <w:style w:type="paragraph" w:customStyle="1" w:styleId="aff6">
    <w:name w:val="Оглавление"/>
    <w:basedOn w:val="aff5"/>
    <w:next w:val="a"/>
    <w:uiPriority w:val="99"/>
    <w:pPr>
      <w:ind w:left="140"/>
    </w:pPr>
    <w:rPr>
      <w:rFonts w:ascii="Arial" w:hAnsi="Arial" w:cs="Arial"/>
    </w:rPr>
  </w:style>
  <w:style w:type="character" w:customStyle="1" w:styleId="aff7">
    <w:name w:val="Опечатки"/>
    <w:uiPriority w:val="99"/>
    <w:rPr>
      <w:color w:val="FF0000"/>
    </w:rPr>
  </w:style>
  <w:style w:type="paragraph" w:customStyle="1" w:styleId="aff8">
    <w:name w:val="Переменная часть"/>
    <w:basedOn w:val="aa"/>
    <w:next w:val="a"/>
    <w:uiPriority w:val="99"/>
    <w:rPr>
      <w:rFonts w:ascii="Arial" w:hAnsi="Arial" w:cs="Arial"/>
      <w:sz w:val="20"/>
      <w:szCs w:val="20"/>
    </w:rPr>
  </w:style>
  <w:style w:type="paragraph" w:customStyle="1" w:styleId="aff9">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a">
    <w:name w:val="Подзаголовок для информации об изменениях"/>
    <w:basedOn w:val="af4"/>
    <w:next w:val="a"/>
    <w:uiPriority w:val="99"/>
    <w:rPr>
      <w:b/>
      <w:bCs/>
      <w:color w:val="000080"/>
      <w:sz w:val="24"/>
      <w:szCs w:val="24"/>
    </w:rPr>
  </w:style>
  <w:style w:type="paragraph" w:customStyle="1" w:styleId="affb">
    <w:name w:val="Подчёркнуный текст"/>
    <w:basedOn w:val="a"/>
    <w:next w:val="a"/>
    <w:uiPriority w:val="99"/>
    <w:pPr>
      <w:jc w:val="both"/>
    </w:pPr>
  </w:style>
  <w:style w:type="paragraph" w:customStyle="1" w:styleId="affc">
    <w:name w:val="Постоянная часть"/>
    <w:basedOn w:val="aa"/>
    <w:next w:val="a"/>
    <w:uiPriority w:val="99"/>
    <w:rPr>
      <w:rFonts w:ascii="Arial" w:hAnsi="Arial" w:cs="Arial"/>
      <w:sz w:val="22"/>
      <w:szCs w:val="22"/>
    </w:rPr>
  </w:style>
  <w:style w:type="paragraph" w:customStyle="1" w:styleId="affd">
    <w:name w:val="Прижатый влево"/>
    <w:basedOn w:val="a"/>
    <w:next w:val="a"/>
    <w:uiPriority w:val="99"/>
  </w:style>
  <w:style w:type="paragraph" w:customStyle="1" w:styleId="affe">
    <w:name w:val="Пример."/>
    <w:basedOn w:val="a"/>
    <w:next w:val="a"/>
    <w:uiPriority w:val="99"/>
    <w:pPr>
      <w:ind w:left="118" w:firstLine="602"/>
      <w:jc w:val="both"/>
    </w:pPr>
  </w:style>
  <w:style w:type="paragraph" w:customStyle="1" w:styleId="afff">
    <w:name w:val="Примечание."/>
    <w:basedOn w:val="af7"/>
    <w:next w:val="a"/>
    <w:uiPriority w:val="99"/>
    <w:pPr>
      <w:spacing w:before="0"/>
    </w:pPr>
    <w:rPr>
      <w:i w:val="0"/>
      <w:iCs w:val="0"/>
      <w:color w:val="auto"/>
    </w:rPr>
  </w:style>
  <w:style w:type="character" w:customStyle="1" w:styleId="afff0">
    <w:name w:val="Продолжение ссылки"/>
    <w:basedOn w:val="a4"/>
    <w:uiPriority w:val="99"/>
    <w:rPr>
      <w:b w:val="0"/>
      <w:bCs w:val="0"/>
      <w:color w:val="008000"/>
    </w:rPr>
  </w:style>
  <w:style w:type="paragraph" w:customStyle="1" w:styleId="afff1">
    <w:name w:val="Словарная статья"/>
    <w:basedOn w:val="a"/>
    <w:next w:val="a"/>
    <w:uiPriority w:val="99"/>
    <w:pPr>
      <w:ind w:right="118"/>
      <w:jc w:val="both"/>
    </w:pPr>
  </w:style>
  <w:style w:type="character" w:customStyle="1" w:styleId="afff2">
    <w:name w:val="Сравнение редакций"/>
    <w:basedOn w:val="a3"/>
    <w:uiPriority w:val="99"/>
    <w:rPr>
      <w:b w:val="0"/>
      <w:bCs w:val="0"/>
      <w:color w:val="000080"/>
    </w:rPr>
  </w:style>
  <w:style w:type="character" w:customStyle="1" w:styleId="afff3">
    <w:name w:val="Сравнение редакций. Добавленный фрагмент"/>
    <w:uiPriority w:val="99"/>
    <w:rPr>
      <w:color w:val="0000FF"/>
      <w:shd w:val="clear" w:color="auto" w:fill="auto"/>
    </w:rPr>
  </w:style>
  <w:style w:type="character" w:customStyle="1" w:styleId="afff4">
    <w:name w:val="Сравнение редакций. Удаленный фрагмент"/>
    <w:uiPriority w:val="99"/>
    <w:rPr>
      <w:strike/>
      <w:color w:val="808000"/>
    </w:rPr>
  </w:style>
  <w:style w:type="paragraph" w:customStyle="1" w:styleId="afff5">
    <w:name w:val="Ссылка на официальную публикацию"/>
    <w:basedOn w:val="a"/>
    <w:next w:val="a"/>
    <w:uiPriority w:val="99"/>
    <w:pPr>
      <w:jc w:val="both"/>
    </w:pPr>
  </w:style>
  <w:style w:type="paragraph" w:customStyle="1" w:styleId="afff6">
    <w:name w:val="Текст в таблице"/>
    <w:basedOn w:val="aff3"/>
    <w:next w:val="a"/>
    <w:uiPriority w:val="99"/>
    <w:pPr>
      <w:ind w:firstLine="500"/>
    </w:pPr>
  </w:style>
  <w:style w:type="paragraph" w:customStyle="1" w:styleId="afff7">
    <w:name w:val="Технический комментарий"/>
    <w:basedOn w:val="a"/>
    <w:next w:val="a"/>
    <w:uiPriority w:val="99"/>
    <w:rPr>
      <w:shd w:val="clear" w:color="auto" w:fill="FFFF00"/>
    </w:rPr>
  </w:style>
  <w:style w:type="character" w:customStyle="1" w:styleId="afff8">
    <w:name w:val="Утратил силу"/>
    <w:basedOn w:val="a3"/>
    <w:uiPriority w:val="99"/>
    <w:rPr>
      <w:b w:val="0"/>
      <w:bCs w:val="0"/>
      <w:strike/>
      <w:color w:val="808000"/>
    </w:rPr>
  </w:style>
  <w:style w:type="paragraph" w:customStyle="1" w:styleId="afff9">
    <w:name w:val="Центрированный (таблица)"/>
    <w:basedOn w:val="aff3"/>
    <w:next w:val="a"/>
    <w:uiPriority w:val="99"/>
    <w:pPr>
      <w:jc w:val="center"/>
    </w:pPr>
  </w:style>
  <w:style w:type="paragraph" w:styleId="afffa">
    <w:name w:val="Balloon Text"/>
    <w:basedOn w:val="a"/>
    <w:link w:val="afffb"/>
    <w:uiPriority w:val="99"/>
    <w:semiHidden/>
    <w:rsid w:val="000B7A64"/>
    <w:rPr>
      <w:rFonts w:ascii="Tahoma" w:hAnsi="Tahoma" w:cs="Tahoma"/>
      <w:sz w:val="16"/>
      <w:szCs w:val="16"/>
    </w:rPr>
  </w:style>
  <w:style w:type="character" w:customStyle="1" w:styleId="afffb">
    <w:name w:val="Текст выноски Знак"/>
    <w:basedOn w:val="a0"/>
    <w:link w:val="afffa"/>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143.2"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garantF1://487112.24114" TargetMode="External"/><Relationship Id="rId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garantF1://12081560.1000" TargetMode="External"/><Relationship Id="rId11" Type="http://schemas.openxmlformats.org/officeDocument/2006/relationships/fontTable" Target="fontTable.xml"/><Relationship Id="rId5" Type="http://schemas.openxmlformats.org/officeDocument/2006/relationships/hyperlink" Target="garantF1://12081560.1000" TargetMode="External"/><Relationship Id="rId15" Type="http://schemas.openxmlformats.org/officeDocument/2006/relationships/customXml" Target="../customXml/item3.xml"/><Relationship Id="rId10" Type="http://schemas.openxmlformats.org/officeDocument/2006/relationships/hyperlink" Target="garantF1://12019913.1" TargetMode="External"/><Relationship Id="rId4" Type="http://schemas.openxmlformats.org/officeDocument/2006/relationships/hyperlink" Target="garantF1://10800200.41" TargetMode="External"/><Relationship Id="rId9" Type="http://schemas.openxmlformats.org/officeDocument/2006/relationships/hyperlink" Target="garantF1://10064072.834"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D02E2CD63647040A836B4279B221FB4" ma:contentTypeVersion="0" ma:contentTypeDescription="Создание документа." ma:contentTypeScope="" ma:versionID="9360ca779769b352d4c30fda91ffec90">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XXJ7TYMEEKJ2-4428-229</_dlc_DocId>
    <_dlc_DocIdUrl xmlns="57504d04-691e-4fc4-8f09-4f19fdbe90f6">
      <Url>https://vip.gov.mari.ru/minsoc/di_kolyanur/_layouts/DocIdRedir.aspx?ID=XXJ7TYMEEKJ2-4428-229</Url>
      <Description>XXJ7TYMEEKJ2-4428-229</Description>
    </_dlc_DocIdUrl>
  </documentManagement>
</p:properties>
</file>

<file path=customXml/itemProps1.xml><?xml version="1.0" encoding="utf-8"?>
<ds:datastoreItem xmlns:ds="http://schemas.openxmlformats.org/officeDocument/2006/customXml" ds:itemID="{0C1A3118-0758-4391-BBBC-86962CE53367}"/>
</file>

<file path=customXml/itemProps2.xml><?xml version="1.0" encoding="utf-8"?>
<ds:datastoreItem xmlns:ds="http://schemas.openxmlformats.org/officeDocument/2006/customXml" ds:itemID="{3A428D76-8502-499A-954E-DB209B422CC4}"/>
</file>

<file path=customXml/itemProps3.xml><?xml version="1.0" encoding="utf-8"?>
<ds:datastoreItem xmlns:ds="http://schemas.openxmlformats.org/officeDocument/2006/customXml" ds:itemID="{1DD25130-B5A3-4944-B0AF-76CEFE4D3E3A}"/>
</file>

<file path=customXml/itemProps4.xml><?xml version="1.0" encoding="utf-8"?>
<ds:datastoreItem xmlns:ds="http://schemas.openxmlformats.org/officeDocument/2006/customXml" ds:itemID="{5ADBD14C-CAE6-442C-B563-354D045F0E4F}"/>
</file>

<file path=docProps/app.xml><?xml version="1.0" encoding="utf-8"?>
<Properties xmlns="http://schemas.openxmlformats.org/officeDocument/2006/extended-properties" xmlns:vt="http://schemas.openxmlformats.org/officeDocument/2006/docPropsVTypes">
  <Template>Normal</Template>
  <TotalTime>0</TotalTime>
  <Pages>4</Pages>
  <Words>1929</Words>
  <Characters>11001</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Разъяснения Министерства труда и социальной защиты РФ от 5 октября 2012 г</vt:lpstr>
      <vt:lpstr>Разъяснения Министерства труда и социальной защиты РФ от 5 октября 2012 г. "Обзо</vt:lpstr>
    </vt:vector>
  </TitlesOfParts>
  <Company>НПП "Гарант-Сервис"</Company>
  <LinksUpToDate>false</LinksUpToDate>
  <CharactersWithSpaces>12905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Разъяснения Министерства труда и социальной защиты РФ от 5 октября 2012 г</dc:title>
  <dc:subject/>
  <dc:creator>НПП "Гарант-Сервис"</dc:creator>
  <cp:keywords/>
  <dc:description>Документ экспортирован из системы ГАРАНТ</dc:description>
  <cp:lastModifiedBy>Приемная</cp:lastModifiedBy>
  <cp:revision>2</cp:revision>
  <cp:lastPrinted>2012-12-03T06:14:00Z</cp:lastPrinted>
  <dcterms:created xsi:type="dcterms:W3CDTF">2021-04-02T10:50:00Z</dcterms:created>
  <dcterms:modified xsi:type="dcterms:W3CDTF">2021-04-02T10:50:00Z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0x010100DD02E2CD63647040A836B4279B221FB4</vt:lpwstr>
  </property>
  <property fmtid="{D5CDD505-2E9C-101B-9397-08002B2CF9AE}" pid="3" name="_dlc_DocIdItemGuid">
    <vt:lpwstr>e1b87b28-c93f-41bd-9124-87afc99dfad6</vt:lpwstr>
  </property>
</Properties>
</file>