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sz w:val="28"/>
          <w:szCs w:val="28"/>
          <w:lang w:eastAsia="en-US"/>
        </w:rPr>
        <w:t>фун</w:t>
      </w:r>
      <w:r w:rsidR="005216C6" w:rsidRPr="005F071E">
        <w:rPr>
          <w:sz w:val="28"/>
          <w:szCs w:val="28"/>
          <w:lang w:eastAsia="en-US"/>
        </w:rPr>
        <w:t>к</w:t>
      </w:r>
      <w:r w:rsidR="00505DE3" w:rsidRPr="005F071E">
        <w:rPr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bCs/>
          <w:sz w:val="28"/>
          <w:szCs w:val="28"/>
          <w:lang w:eastAsia="en-US"/>
        </w:rPr>
      </w:pPr>
      <w:r w:rsidRPr="005F071E">
        <w:rPr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bCs/>
          <w:sz w:val="28"/>
          <w:szCs w:val="28"/>
          <w:lang w:eastAsia="en-US"/>
        </w:rPr>
        <w:t>,</w:t>
      </w:r>
      <w:r w:rsidRPr="005F071E">
        <w:rPr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F071E">
        <w:rPr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71E">
        <w:rPr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sz w:val="28"/>
          <w:szCs w:val="28"/>
          <w:lang w:eastAsia="en-US"/>
        </w:rPr>
        <w:t xml:space="preserve">должностными лицами </w:t>
      </w:r>
      <w:r w:rsidRPr="005F071E">
        <w:rPr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sz w:val="28"/>
          <w:szCs w:val="28"/>
          <w:lang w:eastAsia="en-US"/>
        </w:rPr>
      </w:pPr>
      <w:r w:rsidRPr="005F071E">
        <w:rPr>
          <w:sz w:val="28"/>
          <w:szCs w:val="28"/>
          <w:lang w:eastAsia="en-US"/>
        </w:rPr>
        <w:t>п</w:t>
      </w:r>
      <w:r w:rsidR="00D77FC2" w:rsidRPr="005F071E">
        <w:rPr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071E">
        <w:rPr>
          <w:sz w:val="28"/>
          <w:szCs w:val="28"/>
          <w:lang w:eastAsia="en-US"/>
        </w:rPr>
        <w:t>е</w:t>
      </w:r>
      <w:r w:rsidR="00D77FC2" w:rsidRPr="005F071E">
        <w:rPr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sz w:val="28"/>
          <w:szCs w:val="28"/>
          <w:lang w:eastAsia="en-US"/>
        </w:rPr>
        <w:t>о резу</w:t>
      </w:r>
      <w:r w:rsidRPr="005F071E">
        <w:rPr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sz w:val="28"/>
          <w:szCs w:val="28"/>
          <w:lang w:eastAsia="en-US"/>
        </w:rPr>
        <w:t>ых</w:t>
      </w:r>
      <w:r w:rsidRPr="005F071E">
        <w:rPr>
          <w:sz w:val="28"/>
          <w:szCs w:val="28"/>
          <w:lang w:eastAsia="en-US"/>
        </w:rPr>
        <w:t xml:space="preserve">  комисси</w:t>
      </w:r>
      <w:r w:rsidR="009E5ED7" w:rsidRPr="005F071E">
        <w:rPr>
          <w:sz w:val="28"/>
          <w:szCs w:val="28"/>
          <w:lang w:eastAsia="en-US"/>
        </w:rPr>
        <w:t>й</w:t>
      </w:r>
      <w:r w:rsidRPr="005F071E">
        <w:rPr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BA" w:rsidRDefault="00DA7DBA" w:rsidP="00200F49">
      <w:r>
        <w:separator/>
      </w:r>
    </w:p>
  </w:endnote>
  <w:endnote w:type="continuationSeparator" w:id="0">
    <w:p w:rsidR="00DA7DBA" w:rsidRDefault="00DA7DBA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BA" w:rsidRDefault="00DA7DBA" w:rsidP="00200F49">
      <w:r>
        <w:separator/>
      </w:r>
    </w:p>
  </w:footnote>
  <w:footnote w:type="continuationSeparator" w:id="0">
    <w:p w:rsidR="00DA7DBA" w:rsidRDefault="00DA7DBA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sz w:val="20"/>
          <w:szCs w:val="20"/>
          <w:lang w:eastAsia="en-US"/>
        </w:rPr>
        <w:t xml:space="preserve">2008, </w:t>
      </w:r>
      <w:r>
        <w:rPr>
          <w:sz w:val="20"/>
          <w:szCs w:val="20"/>
          <w:lang w:eastAsia="en-US"/>
        </w:rPr>
        <w:t>№</w:t>
      </w:r>
      <w:r w:rsidRPr="003D1F26">
        <w:rPr>
          <w:sz w:val="20"/>
          <w:szCs w:val="20"/>
          <w:lang w:eastAsia="en-US"/>
        </w:rPr>
        <w:t xml:space="preserve"> 52 (ч. 1), ст. 6228</w:t>
      </w:r>
      <w:r>
        <w:rPr>
          <w:sz w:val="20"/>
          <w:szCs w:val="20"/>
          <w:lang w:eastAsia="en-US"/>
        </w:rPr>
        <w:t>)</w:t>
      </w:r>
    </w:p>
    <w:p w:rsidR="00000000" w:rsidRDefault="00DA7DBA">
      <w:pPr>
        <w:autoSpaceDE w:val="0"/>
        <w:autoSpaceDN w:val="0"/>
        <w:adjustRightInd w:val="0"/>
        <w:ind w:firstLine="709"/>
        <w:jc w:val="both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000000" w:rsidRDefault="00DA7DBA" w:rsidP="00AC3712">
      <w:pPr>
        <w:autoSpaceDE w:val="0"/>
        <w:autoSpaceDN w:val="0"/>
        <w:adjustRightInd w:val="0"/>
        <w:ind w:firstLine="709"/>
        <w:jc w:val="both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000000" w:rsidRDefault="00DA7DBA" w:rsidP="002C7173">
      <w:pPr>
        <w:autoSpaceDE w:val="0"/>
        <w:autoSpaceDN w:val="0"/>
        <w:adjustRightInd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7BF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07EC4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8313D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A7DBA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27BF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1494C0-E45C-432C-B17A-65EC0571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00FE7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00FE7"/>
    <w:rPr>
      <w:rFonts w:eastAsia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FE7"/>
    <w:rPr>
      <w:rFonts w:eastAsia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A00FE7"/>
    <w:rPr>
      <w:rFonts w:cs="Times New Roman"/>
    </w:rPr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lang w:eastAsia="ru-RU"/>
    </w:rPr>
  </w:style>
  <w:style w:type="paragraph" w:styleId="a8">
    <w:name w:val="Normal (Web)"/>
    <w:basedOn w:val="a"/>
    <w:uiPriority w:val="99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579B"/>
    <w:rPr>
      <w:rFonts w:ascii="Tahoma" w:hAnsi="Tahoma" w:cs="Tahoma"/>
      <w:sz w:val="16"/>
      <w:szCs w:val="16"/>
      <w:lang w:val="x-none"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XXJ7TYMEEKJ2-4428-203</_dlc_DocId>
    <_dlc_DocIdUrl xmlns="57504d04-691e-4fc4-8f09-4f19fdbe90f6">
      <Url>https://vip.gov.mari.ru/minsoc/di_kolyanur/_layouts/DocIdRedir.aspx?ID=XXJ7TYMEEKJ2-4428-203</Url>
      <Description>XXJ7TYMEEKJ2-4428-203</Description>
    </_dlc_DocIdUrl>
  </documentManagement>
</p:properties>
</file>

<file path=customXml/itemProps1.xml><?xml version="1.0" encoding="utf-8"?>
<ds:datastoreItem xmlns:ds="http://schemas.openxmlformats.org/officeDocument/2006/customXml" ds:itemID="{8C6511E8-CE10-4124-80D0-A1CC36E026FB}"/>
</file>

<file path=customXml/itemProps2.xml><?xml version="1.0" encoding="utf-8"?>
<ds:datastoreItem xmlns:ds="http://schemas.openxmlformats.org/officeDocument/2006/customXml" ds:itemID="{DD56F540-4C50-4B59-A067-8926D921BE2C}"/>
</file>

<file path=customXml/itemProps3.xml><?xml version="1.0" encoding="utf-8"?>
<ds:datastoreItem xmlns:ds="http://schemas.openxmlformats.org/officeDocument/2006/customXml" ds:itemID="{7FEEB158-AB36-453E-B802-C34B5EFC8294}"/>
</file>

<file path=customXml/itemProps4.xml><?xml version="1.0" encoding="utf-8"?>
<ds:datastoreItem xmlns:ds="http://schemas.openxmlformats.org/officeDocument/2006/customXml" ds:itemID="{A6CC01EF-8FCD-4353-B8CD-8CEBFD05E687}"/>
</file>

<file path=customXml/itemProps5.xml><?xml version="1.0" encoding="utf-8"?>
<ds:datastoreItem xmlns:ds="http://schemas.openxmlformats.org/officeDocument/2006/customXml" ds:itemID="{20A0A11A-52C5-4976-86C0-98EE2B654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23406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Определение перечня функций федеральных государственных органов, государственных</vt:lpstr>
      <vt:lpstr>К коррупционно-опасным функциям может быть отнесено  осуществление функций по ко</vt:lpstr>
      <vt:lpstr>хранение и распределение материально-технических ресурсов.</vt:lpstr>
      <vt:lpstr>Вышеперечисленный перечень не является исчерпывающим и носит рекомендательный ха</vt:lpstr>
      <vt:lpstr>Информация о том, что при реализации той или иной функции возникают коррупционны</vt:lpstr>
      <vt:lpstr>в ходе заседания комиссии по соблюдению требований к служебному поведению и урег</vt:lpstr>
      <vt:lpstr>в статистических данных, в том числе в данных о состоянии преступности в Российс</vt:lpstr>
      <vt:lpstr>по результатам рассмотрения:</vt:lpstr>
      <vt:lpstr>- обращений граждан, содержащих информацию о коррупционных правонарушениях, в то</vt:lpstr>
      <vt:lpstr>- уведомлений представителя нанимателя (работодателя) о фактах обращения в целях</vt:lpstr>
      <vt:lpstr>- сообщений в СМИ о коррупционных правонарушениях или фактах несоблюдения должно</vt:lpstr>
      <vt:lpstr>- материалов, представленных правоохранительными органами, иными государственным</vt:lpstr>
      <vt:lpstr>Перечень источников, указанных в настоящем пункте, не является исчерпывающим.</vt:lpstr>
      <vt:lpstr>По итогам реализации вышеизложенных мероприятий федеральными государственными ор</vt:lpstr>
      <vt:lpstr>Перечень коррупционно-опасных функций может быть утвержден руководителем федерал</vt:lpstr>
      <vt:lpstr>Основаниями для внесения изменений (дополнений) в перечень коррупционно-опасных </vt:lpstr>
      <vt:lpstr/>
      <vt:lpstr/>
      <vt:lpstr>Утверждение данного перечня осуществляется руководителем федерального государств</vt:lpstr>
      <vt:lpstr>В соответствии с антикоррупционным законодательством лица, замещающие должности,</vt:lpstr>
      <vt:lpstr>В качестве установления препятствий (ограничений), затрудняющих реализацию корру</vt:lpstr>
    </vt:vector>
  </TitlesOfParts>
  <Company>Kraftway</Company>
  <LinksUpToDate>false</LinksUpToDate>
  <CharactersWithSpaces>27458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рекоммендации по проведению оценки коррупционных рисков, возникающих при реализации функций</dc:title>
  <dc:subject/>
  <dc:creator>GEG</dc:creator>
  <cp:keywords/>
  <dc:description/>
  <cp:lastModifiedBy>Приемная</cp:lastModifiedBy>
  <cp:revision>2</cp:revision>
  <cp:lastPrinted>2014-12-24T07:30:00Z</cp:lastPrinted>
  <dcterms:created xsi:type="dcterms:W3CDTF">2021-04-02T09:06:00Z</dcterms:created>
  <dcterms:modified xsi:type="dcterms:W3CDTF">2021-04-02T09:06:00Z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f20ee747-819f-4c97-8487-e7a6ba9570dd</vt:lpwstr>
  </property>
</Properties>
</file>