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BA" w:rsidRPr="00B332BA" w:rsidRDefault="00B332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332BA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B332BA">
        <w:rPr>
          <w:rFonts w:ascii="Times New Roman" w:hAnsi="Times New Roman" w:cs="Times New Roman"/>
          <w:sz w:val="24"/>
          <w:szCs w:val="24"/>
        </w:rPr>
        <w:br/>
      </w:r>
    </w:p>
    <w:p w:rsidR="00B332BA" w:rsidRPr="00B332BA" w:rsidRDefault="00B332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Зарегистрировано в Минюсте России 13 января 2017 г. N 45199</w:t>
      </w:r>
    </w:p>
    <w:p w:rsidR="00B332BA" w:rsidRPr="00B332BA" w:rsidRDefault="00B332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ПРИКАЗ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от 12 сентября 2016 г. N 470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ОСУЩЕСТВЛЕНИЯ МЕРОПРИЯТИЙ ПО ПРЕДУПРЕЖДЕНИЮ РАСПРОСТРАНЕНИЯ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ВРЕДНЫХ ОРГАНИЗМОВ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332BA">
          <w:rPr>
            <w:rFonts w:ascii="Times New Roman" w:hAnsi="Times New Roman" w:cs="Times New Roman"/>
            <w:sz w:val="24"/>
            <w:szCs w:val="24"/>
          </w:rPr>
          <w:t>статьей 60.7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законодательства, 2006, N 50, ст. 5278; 2016, N 1, ст. 75) приказываю: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B332B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предупреждению распространения вредных организмов.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со дня признания утратившим силу </w:t>
      </w:r>
      <w:hyperlink r:id="rId6" w:history="1">
        <w:r w:rsidRPr="00B332B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9 июня 2015 г. N 182 "Об утверждении методического документа по обеспечению санитарной безопасности в лесах" (зарегистрирован Министерством юстиции Российской Федерации 14 декабря 2015 г., регистрационный N 40084).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Министр</w:t>
      </w:r>
    </w:p>
    <w:p w:rsidR="00B332BA" w:rsidRPr="00B332BA" w:rsidRDefault="00B33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С.Е.ДОНСКОЙ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Утверждены</w:t>
      </w:r>
    </w:p>
    <w:p w:rsidR="00B332BA" w:rsidRPr="00B332BA" w:rsidRDefault="00B33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B332BA" w:rsidRPr="00B332BA" w:rsidRDefault="00B33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от 12.09.2016 N 470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B332BA">
        <w:rPr>
          <w:rFonts w:ascii="Times New Roman" w:hAnsi="Times New Roman" w:cs="Times New Roman"/>
          <w:sz w:val="24"/>
          <w:szCs w:val="24"/>
        </w:rPr>
        <w:t>ПРАВИЛА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ОСУЩЕСТВЛЕНИЯ МЕРОПРИЯТИЙ ПО ПРЕДУПРЕЖДЕНИЮ РАСПРОСТРАНЕНИЯ</w:t>
      </w:r>
    </w:p>
    <w:p w:rsidR="00B332BA" w:rsidRPr="00B332BA" w:rsidRDefault="00B33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ВРЕДНЫХ ОРГАНИЗМОВ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1. Предупреждение распространения вредных организмов включает в себя проведение: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2BA">
        <w:rPr>
          <w:rFonts w:ascii="Times New Roman" w:hAnsi="Times New Roman" w:cs="Times New Roman"/>
          <w:sz w:val="24"/>
          <w:szCs w:val="24"/>
        </w:rPr>
        <w:t>профилактических мероприятий по защите лесов;</w:t>
      </w:r>
      <w:proofErr w:type="gramEnd"/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lastRenderedPageBreak/>
        <w:t>санитарно-оздоровительных мероприятий, в том числе рубок погибших (утративших жизнеспособность в результате воздействия неблагоприятных факторов) и поврежденных (имеющих видимые признаки повреждения неблагоприятными факторами) лесных насаждений, уборки неликвидной древесины (древесины, утратившей потребительские свойства из-за повреждений гнилью, стволовыми вредителями, а также в результате пожаров и других неблагоприятных воздействий), рубки аварийных деревьев;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агитационных мероприятий.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2. Мероприятия по предупреждению распространения вредных организмов на лесных участках, предоставленных в постоянное (бессрочное) пользование, аренду, осуществляются лицами, использующими леса, на основании проекта освоения лесов; на лесных участках, не предоставленных в постоянное (бессрочное) пользование, аренду - органами исполнительной власти и органами местного самоуправления в пределах полномочий (далее - уполномоченные органы), определенных в соответствии со </w:t>
      </w:r>
      <w:hyperlink r:id="rId7" w:history="1">
        <w:r w:rsidRPr="00B332BA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B332BA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2014, N 11, ст. 1092, N 26, ст. 3377, ст. 3386, N 30, ст. 4251; 2015, N 27, ст. 3997, N 29, ст. 4350, ст. 4359; 2016, N 1, ст. 75, N 18, ст. 2495, N 26, ст. 3875, ст. 3887, N 27, ст. 4198, ст. 4294) (далее - Лесной кодекс).</w:t>
      </w:r>
      <w:proofErr w:type="gramEnd"/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Мероприятия по предупреждению распространения вредных организмов осуществляются в соответствии со </w:t>
      </w:r>
      <w:hyperlink r:id="rId9" w:history="1">
        <w:r w:rsidRPr="00B332BA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3. Документированная информация, подтверждающая осуществление мероприятий по предупреждению распространения вредных организмов, в установленном порядке представляется для внесения в государственный лесной реестр &lt;1&gt;.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B332BA">
          <w:rPr>
            <w:rFonts w:ascii="Times New Roman" w:hAnsi="Times New Roman" w:cs="Times New Roman"/>
            <w:sz w:val="24"/>
            <w:szCs w:val="24"/>
          </w:rPr>
          <w:t>Статья 91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4. В лесах, расположенных на особо охраняемых природных территориях, проведение мероприятий по предупреждению распространения вредных организмов осуществляется с учетом особенностей режима особой охраны территорий.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5. Не допускается осуществление мероприятий по предупреждению распространения вредных организмов: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если такие мероприятия не предусмотрены соответствующим актом лесопатологического обследования;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в течение двадцати дней после размещения в соответствии с </w:t>
      </w:r>
      <w:hyperlink r:id="rId11" w:history="1">
        <w:r w:rsidRPr="00B332BA">
          <w:rPr>
            <w:rFonts w:ascii="Times New Roman" w:hAnsi="Times New Roman" w:cs="Times New Roman"/>
            <w:sz w:val="24"/>
            <w:szCs w:val="24"/>
          </w:rPr>
          <w:t>частью 3 статьи 60.6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Лесного кодекса акта лесопатологического обследования на официальном сайте уполномоченных органов в информационно-телекоммуникационной сети "Интернет".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II. Профилактические мероприятия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6. 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7. Основанием для планирования профилактических мероприятий являются результаты лесопатологических обследований (далее - ЛПО). Результаты планирования профилактических мероприятий отражаются в лесохозяйственных регламентах и проектах освоения лесов.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8. Профилактические мероприятия подразделяются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лесохозяйственные и биотехнические.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9. К профилактическим лесохозяйственным мероприятиям относятся: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использование удобрений и минеральных добавок для повышения устойчивости лесных насаждений в неблагоприятные периоды (засуха, повреждение насекомыми);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лечение деревьев;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применение пестицидов для предотвращения появления очагов вредных организмов.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10. Лечение деревьев осуществляется в первую очередь на лесных участках, предоставленных для осуществления рекреационной деятельности. Лечение деревьев заключается в обрезке отдельных усыхающих и поврежденных ветвей, удалении плодовых тел дереворазрушающих грибов, лечении ран, санации дупел.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11. Применение пестицидов и биологических сре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я предотвращения появления очагов вредных организмов в первую очередь производится на участках ценных лесов или в питомниках на основании прогнозных данных на начальной фазе развития очага.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 xml:space="preserve">При этом не допускается использование пестицидов, которые не внесены в Государственный каталог пестицидов и </w:t>
      </w:r>
      <w:proofErr w:type="spellStart"/>
      <w:r w:rsidRPr="00B332BA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B332BA">
        <w:rPr>
          <w:rFonts w:ascii="Times New Roman" w:hAnsi="Times New Roman" w:cs="Times New Roman"/>
          <w:sz w:val="24"/>
          <w:szCs w:val="24"/>
        </w:rPr>
        <w:t xml:space="preserve">, разрешенных к применению на территории Российской Федерации, предусмотренный </w:t>
      </w:r>
      <w:hyperlink r:id="rId12" w:history="1">
        <w:r w:rsidRPr="00B332BA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Федерального закона от 19.07.1997 N 109-ФЗ "О безопасном обращении с пестицидами и </w:t>
      </w:r>
      <w:proofErr w:type="spellStart"/>
      <w:r w:rsidRPr="00B332BA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B332BA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1997, N 29, ст. 3510; 2009, N 1, ст. 17).</w:t>
      </w:r>
      <w:proofErr w:type="gramEnd"/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12. Профилактическими биотехническими мероприятиями являются: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улучшение условий обитания и размножения насекомоядных птиц и других насекомоядных животных;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охрана местообитаний, выпуск, расселение и интродукция насекомых-энтомофагов;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посев травянистых нектароносных растений.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13. Улучшение условий обитания и размножения насекомоядных птиц и насекомоядных животных заключается в их охране, посадке деревьев и кустарников для гнездования, развешивании скворечников и дуплянок, подкормке, посадке ремиз (полос или куртин из древесных или кустарниковых растений, служащих местами укрытия и кормления полезных птиц), сохранении и создании в лесу источников воды.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14. Посев травянистых нектароносных растений производится в непосредственной близости от лесных участков, на которых возникают очаги вредных насекомых, или по опушкам этих лесных участков.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III. Агитационные мероприятия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15. К агитационным мероприятиям относятся: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беседы с населением;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проведение открытых уроков в образовательных учреждениях;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развешивание аншлагов и плакатов;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размещение информационных материалов в средствах массовой информации.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IV. Санитарно-оздоровительные мероприятия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Санитарно-оздоровительные мероприятия (далее - СОМ) проводятся с целью улучшения санитарного состояния лесных насаждений, уменьшения угрозы распространения вредных организмов, обеспечения лесными насаждениями своих целевых функций, а также снижения ущерба от воздействия неблагоприятных факторов (вредные организмы, воздействие огня, погодные условия, почвенно-климатические факторы и другие, биотические и абиотические факторы, наносящие ущерб устойчивости или целевой функции лесов).</w:t>
      </w:r>
      <w:proofErr w:type="gramEnd"/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СОМ относятся рубка погибших и поврежденных лесных насаждений, уборка неликвидной древесины, а также аварийных деревьев.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18. Сведения о видах и объемах СОМ, планируемых к проведению лицами, использующими леса на основании договора аренды, права постоянного (бессрочного) пользования лесным участком, отражаются в лесной декларации.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19. Планирование объемов СОМ на лесных участках, не переданных в пользование, отражается в лесохозяйственном регламенте лесничества (лесопарка) на основании данных государственного лесопатологического мониторинга и ЛПО.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20. При распределении объемов СОМ по кварталам года учитываются степень и время повреждения лесных насаждений, биология древесной породы, вредных насекомых и возбудителей заболеваний. Во избежание распространения инфекции сплошные и выборочные санитарные рубки следует проводить преимущественно в зимний период.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21. СОМ не планируются в лесных насаждениях 4 и 5 бонитетов, за исключением случаев угрозы возникновения в этих лесных насаждениях очагов вредных организмов, а также в лесничествах, где лесные насаждения данных бонитетов являются преобладающими.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22. СОМ планируются в лесах любого целевого назначения и всех категорий защитных лесов, кроме заповедных участков.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23. Отвод лесосек для проведения СОМ в лесных насаждениях (лиственных и лиственничных) (30% и более в составе насаждений) проводится в вегетационный период (кроме лесных участков, поврежденных ветрами (ветровал, бурелом - деревьев 5 "а", "б" и 6 "а", "б" категорий состояния) и верховыми пожарами).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24. Размер лесосек для проведения СОМ не лимитируется.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25. Рубка погибших и поврежденных лесных насаждений проводится в форме сплошной (для погибших и поврежденных насаждений) и выборочной (для поврежденных насаждений) санитарной рубки.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lastRenderedPageBreak/>
        <w:t>26. В молодняках до созревания в них деловой древесины при наличии погибших семенников проводятся выборочные санитарные рубки и (или) уборка неликвидной древесины.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27. Отвод лесосек под санитарные сплошные и выборочные рубки производится по результатам ЛПО, проводимого инструментальным способом в соответствии с </w:t>
      </w:r>
      <w:hyperlink r:id="rId13" w:history="1">
        <w:r w:rsidRPr="00B332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заготовки древесины, утвержденными приказом Рослесхоза от 01.08.2011 N 337 (зарегистрирован Министерством юстиции Российской Федерации 30 декабря 2011 г., регистрационный N 22883).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28. Уменьшение периметра лесосеки (уменьшение количества столбов на углах лесосеки) при отводе в сплошную и выборочную санитарную рубку допускается в пределах, не превышающих 10% от площади погибшего или поврежденного участка леса.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29. На визирах лесосек, отводимых в выборочную санитарную рубку, деревья не срубаются, и визиры расчищаются за счет обрубки сучьев и веток, а также рубки кустарника.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30. При назначении в сплошную и выборочную санитарную рубку в обязательном порядке отбираются деревья 5 - 6-й категорий состояния. Ветровал, бурелом и снеголом относят к 5 - 6-й категориям состояния.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31. Допускается назначение в сплошную и выборочную санитарную рубку деревьев категорий состояния в следующих случаях: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деревья хвойных пород 4-й категории состояния;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2BA">
        <w:rPr>
          <w:rFonts w:ascii="Times New Roman" w:hAnsi="Times New Roman" w:cs="Times New Roman"/>
          <w:sz w:val="24"/>
          <w:szCs w:val="24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болезнью;</w:t>
      </w:r>
      <w:proofErr w:type="gramEnd"/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в эксплуатационных лесах: деревья при наличии на стволах явных признаков гнилей (дупла, плодовые тела трутовиков, раковые раны, охватывающие более 2/3 окружности ствола); деревья ели и пихты, имеющие повреждения коры лосем и другими животными более трети окружности ствола;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в лесных насаждениях, пройденных лесным пожаром: деревья с наличием прогара корневой шейки не менее 3/4 окружности ствола (при этом обязательно наличие пробной площади с раскопкой корневой шейки не менее чем у 100 деревьев) или высушивание луба не менее 3/4 окружности ствола (наличие пробной площади также обязательно);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деревья хвойных пород, имеющие повреждения коры лосем и другими животными более трети окружности ствола, или поселения стволовых вредителей, занимающие более половины окружности ствола.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32. Отбор деревьев в выборочную и сплошную санитарную рубку при повреждении хво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2BA">
        <w:rPr>
          <w:rFonts w:ascii="Times New Roman" w:hAnsi="Times New Roman" w:cs="Times New Roman"/>
          <w:sz w:val="24"/>
          <w:szCs w:val="24"/>
        </w:rPr>
        <w:t>листогрызущими</w:t>
      </w:r>
      <w:proofErr w:type="spellEnd"/>
      <w:r w:rsidRPr="00B332BA">
        <w:rPr>
          <w:rFonts w:ascii="Times New Roman" w:hAnsi="Times New Roman" w:cs="Times New Roman"/>
          <w:sz w:val="24"/>
          <w:szCs w:val="24"/>
        </w:rPr>
        <w:t xml:space="preserve"> насекомыми производится после завершения периода восстановления хвои (листвы).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33. При выборочной санитарной рубке жизнеспособные деревья с дуплами в количестве 5 - 10 шт./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оставляются в целях обеспечения естественными укрытиями представителей животного мира.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 xml:space="preserve">Для лесных растений, относящихся к видам, занесенным в Красную книгу </w:t>
      </w:r>
      <w:r w:rsidRPr="00B332BA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(или) в Красные книги субъектов Российской Федерации, а также включенных в </w:t>
      </w:r>
      <w:hyperlink r:id="rId14" w:history="1">
        <w:r w:rsidRPr="00B332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видов (пород) деревьев и кустарников, заготовка древесины которых не допускается, в соответствии Приказом Рослесхоза от 05.12.2011 N 513 "Об утверждении Перечня видов (пород) деревьев и кустарников, заготовка древесины которых не допускается" (зарегистрирован Министерством юстиции Российской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Федерации 19 января 2012 г., регистрационный N 22973), разрешается рубка только погибших экземпляров.</w:t>
      </w:r>
      <w:proofErr w:type="gramEnd"/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35. После проведения выборочных санитарных рубок полнота лесных насаждений не должна быть ниже минимальных допустимых значений, при которых обеспечивается способность древостоев выполнять функции, соответствующие их категориям </w:t>
      </w:r>
      <w:proofErr w:type="spellStart"/>
      <w:r w:rsidRPr="00B332BA"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 w:rsidRPr="00B332BA">
        <w:rPr>
          <w:rFonts w:ascii="Times New Roman" w:hAnsi="Times New Roman" w:cs="Times New Roman"/>
          <w:sz w:val="24"/>
          <w:szCs w:val="24"/>
        </w:rPr>
        <w:t xml:space="preserve"> или целевому назначению (</w:t>
      </w:r>
      <w:hyperlink w:anchor="P127" w:history="1">
        <w:r w:rsidRPr="00B332BA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к настоящим правилам).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36. В лесных насаждениях, для которых в естественных условиях характерно </w:t>
      </w:r>
      <w:proofErr w:type="spellStart"/>
      <w:r w:rsidRPr="00B332BA">
        <w:rPr>
          <w:rFonts w:ascii="Times New Roman" w:hAnsi="Times New Roman" w:cs="Times New Roman"/>
          <w:sz w:val="24"/>
          <w:szCs w:val="24"/>
        </w:rPr>
        <w:t>низкополнотное</w:t>
      </w:r>
      <w:proofErr w:type="spellEnd"/>
      <w:r w:rsidRPr="00B332BA">
        <w:rPr>
          <w:rFonts w:ascii="Times New Roman" w:hAnsi="Times New Roman" w:cs="Times New Roman"/>
          <w:sz w:val="24"/>
          <w:szCs w:val="24"/>
        </w:rPr>
        <w:t xml:space="preserve"> произрастание древостоев, снижение полноты после выборочных санитарных рубок не лимитируется. К таким лесным насаждениям относятся: можжевеловые, </w:t>
      </w:r>
      <w:proofErr w:type="spellStart"/>
      <w:r w:rsidRPr="00B332BA">
        <w:rPr>
          <w:rFonts w:ascii="Times New Roman" w:hAnsi="Times New Roman" w:cs="Times New Roman"/>
          <w:sz w:val="24"/>
          <w:szCs w:val="24"/>
        </w:rPr>
        <w:t>арчовые</w:t>
      </w:r>
      <w:proofErr w:type="spellEnd"/>
      <w:r w:rsidRPr="00B332BA">
        <w:rPr>
          <w:rFonts w:ascii="Times New Roman" w:hAnsi="Times New Roman" w:cs="Times New Roman"/>
          <w:sz w:val="24"/>
          <w:szCs w:val="24"/>
        </w:rPr>
        <w:t>, саксауловые, высокогорные кедрачи.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37. В спелых и перестойных насаждениях в эксплуатационных лесах выборочные санитарные рубки не проводятся. При наличии в них повышенного текущего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они планируются в рубку для заготовки древесины в первую очередь &lt;1&gt;.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B332BA">
          <w:rPr>
            <w:rFonts w:ascii="Times New Roman" w:hAnsi="Times New Roman" w:cs="Times New Roman"/>
            <w:sz w:val="24"/>
            <w:szCs w:val="24"/>
          </w:rPr>
          <w:t>Часть 3 статьи 29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38. В лесных насаждениях с участием ели, пихты в составе 70% и более проведение выборочных рубок запрещается, за исключением случаев, когда полнота в данной категории </w:t>
      </w:r>
      <w:proofErr w:type="spellStart"/>
      <w:r w:rsidRPr="00B332BA"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 w:rsidRPr="00B332BA">
        <w:rPr>
          <w:rFonts w:ascii="Times New Roman" w:hAnsi="Times New Roman" w:cs="Times New Roman"/>
          <w:sz w:val="24"/>
          <w:szCs w:val="24"/>
        </w:rPr>
        <w:t xml:space="preserve"> не лимитируется (</w:t>
      </w:r>
      <w:hyperlink w:anchor="P127" w:history="1">
        <w:r w:rsidRPr="00B332BA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к настоящим Правилам).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39. Санитарная рубка считается сплошной, если вырубается весь древостой на площади 0,1 га и более. Запрещается проводить сплошную санитарную рубку на всем выделе, если куртины деревьев без признаков ослабления превышают половину площади данного выдела.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40. Сплошная санитарная рубка проводится в лесных насаждениях, в которых после уборки деревьев, подлежащих рубке, полнота становится ниже предельных величин, при которых обеспечивается способность древостоев выполнять функции, соответствующие категориям защитных лесов или целевому назначению (</w:t>
      </w:r>
      <w:hyperlink w:anchor="P127" w:history="1">
        <w:r w:rsidRPr="00B332BA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B332BA">
        <w:rPr>
          <w:rFonts w:ascii="Times New Roman" w:hAnsi="Times New Roman" w:cs="Times New Roman"/>
          <w:sz w:val="24"/>
          <w:szCs w:val="24"/>
        </w:rPr>
        <w:t xml:space="preserve"> к настоящим Правилам). Расчет фактической полноты древостоя обеспечивается при проведении ЛПО.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41. Порубочные остатки после выборочных и сплошных санитарных рубок подлежат сжиганию, мульчированию или вывозу в места, предназначенные для переработки древесины.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42. Уборка неликвидной древесины проводится в местах образования ветровала, бурелома, снеголома, верховых пожаров и других повреждений при наличии неликвидной древесины более 90% от общего запаса погибших деревьев.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43. В первую очередь уборка неликвидной древесины производится в лесах, выполняющих функции защиты природных и иных объектов, а также в ценных лесах. На землях другого целевого назначения и иных категорий защитных лесов уборка неликвидной древесины производится в случае, если создается угроза возникновения очагов вредных организмов или пожарной опасности в лесах.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lastRenderedPageBreak/>
        <w:t>44. По результатам осуществления СОМ вносятся изменения в лесной план субъекта Российской Федерации, лесохозяйственный регламент лесничества, лесопарка.</w:t>
      </w:r>
    </w:p>
    <w:p w:rsidR="00B332BA" w:rsidRPr="00B332BA" w:rsidRDefault="00B33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45. 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лиц.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Приложение</w:t>
      </w:r>
    </w:p>
    <w:p w:rsidR="00B332BA" w:rsidRPr="00B332BA" w:rsidRDefault="00B33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к Правилам осуществления мероприятий</w:t>
      </w:r>
    </w:p>
    <w:p w:rsidR="00B332BA" w:rsidRPr="00B332BA" w:rsidRDefault="00B33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по предупреждению распространения</w:t>
      </w:r>
    </w:p>
    <w:p w:rsidR="00B332BA" w:rsidRPr="00B332BA" w:rsidRDefault="00B33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>вредных организмов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B332BA">
        <w:rPr>
          <w:rFonts w:ascii="Times New Roman" w:hAnsi="Times New Roman" w:cs="Times New Roman"/>
          <w:sz w:val="24"/>
          <w:szCs w:val="24"/>
        </w:rPr>
        <w:t>МИНИМАЛЬНЫЕ ДОПУСТИМЫЕ ЗНАЧЕНИЯ</w:t>
      </w:r>
    </w:p>
    <w:p w:rsidR="00B332BA" w:rsidRPr="00B332BA" w:rsidRDefault="00B33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2BA">
        <w:rPr>
          <w:rFonts w:ascii="Times New Roman" w:hAnsi="Times New Roman" w:cs="Times New Roman"/>
          <w:sz w:val="24"/>
          <w:szCs w:val="24"/>
        </w:rPr>
        <w:t xml:space="preserve">ПОЛНОТЫ, ДО </w:t>
      </w:r>
      <w:proofErr w:type="gramStart"/>
      <w:r w:rsidRPr="00B332B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332BA">
        <w:rPr>
          <w:rFonts w:ascii="Times New Roman" w:hAnsi="Times New Roman" w:cs="Times New Roman"/>
          <w:sz w:val="24"/>
          <w:szCs w:val="24"/>
        </w:rPr>
        <w:t xml:space="preserve"> НАЗНАЧАЮТСЯ ВЫБОРОЧНЫЕ САНИТАРНЫЕ РУБКИ</w:t>
      </w: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76"/>
        <w:gridCol w:w="947"/>
        <w:gridCol w:w="947"/>
        <w:gridCol w:w="947"/>
        <w:gridCol w:w="947"/>
        <w:gridCol w:w="947"/>
        <w:gridCol w:w="947"/>
      </w:tblGrid>
      <w:tr w:rsidR="00B332BA" w:rsidRPr="00B332BA">
        <w:tc>
          <w:tcPr>
            <w:tcW w:w="2608" w:type="dxa"/>
            <w:vMerge w:val="restart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Вид использования или категория защитных лесов</w:t>
            </w:r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Преобладающая порода</w:t>
            </w:r>
          </w:p>
        </w:tc>
      </w:tr>
      <w:tr w:rsidR="00B332BA" w:rsidRPr="00B332BA">
        <w:tc>
          <w:tcPr>
            <w:tcW w:w="2608" w:type="dxa"/>
            <w:vMerge/>
          </w:tcPr>
          <w:p w:rsidR="00B332BA" w:rsidRPr="00B332BA" w:rsidRDefault="00B3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Ель, пихта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Береза и прочие лиственные</w:t>
            </w:r>
          </w:p>
        </w:tc>
      </w:tr>
      <w:tr w:rsidR="00B332BA" w:rsidRPr="00B332BA">
        <w:tc>
          <w:tcPr>
            <w:tcW w:w="9066" w:type="dxa"/>
            <w:gridSpan w:val="8"/>
          </w:tcPr>
          <w:p w:rsidR="00B332BA" w:rsidRPr="00B332BA" w:rsidRDefault="00B332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9066" w:type="dxa"/>
            <w:gridSpan w:val="8"/>
          </w:tcPr>
          <w:p w:rsidR="00B332BA" w:rsidRPr="00B332BA" w:rsidRDefault="00B332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Эксплуатационные леса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Заготовка живицы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и сбор </w:t>
            </w:r>
            <w:proofErr w:type="spell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и образовательная деятельность</w:t>
            </w:r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 лимитируется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рекреационной </w:t>
            </w:r>
            <w:r w:rsidRPr="00B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лесных плантаций</w:t>
            </w:r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 лимитируется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Прочие виды использования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BA" w:rsidRPr="00B332BA">
        <w:tc>
          <w:tcPr>
            <w:tcW w:w="9066" w:type="dxa"/>
            <w:gridSpan w:val="8"/>
          </w:tcPr>
          <w:p w:rsidR="00B332BA" w:rsidRPr="00B332BA" w:rsidRDefault="00B332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Защитные леса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1. Леса, расположенные в </w:t>
            </w:r>
            <w:proofErr w:type="spell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 лимитируется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2. Леса, выполняющие функции защиты природных и иных объектов:</w:t>
            </w:r>
          </w:p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а) 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б) защитные полосы лесов вдоль железнодорожных путей общего пользования, федеральных автомобильных дорог общего пользования и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в) зеленые и лесопарковые зоны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г) городские леса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) леса, расположенные в первой, второй и третьей зоне округов санитарной (горно-санитарной) охраны </w:t>
            </w:r>
            <w:r w:rsidRPr="00B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лечебно-оздоровительных местностей и курортов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Ценные леса:</w:t>
            </w:r>
          </w:p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а) государственные защитные лесные полосы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б) противоэрозионные леса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в)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 лимитируется для пустынных, полупустынных и малолесных горных территорий. В остальных случаях - 0,3 для всех пород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г) леса, имеющие научное или исторические значение</w:t>
            </w:r>
            <w:proofErr w:type="gramEnd"/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) орехово-промысловые зоны</w:t>
            </w:r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 лимитируется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е) лесные плодовые насаждения</w:t>
            </w:r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 лимитируется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ж) ленточные боры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) запретные полосы, расположенные вдоль водных объектов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proofErr w:type="spellStart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нерестоохранные</w:t>
            </w:r>
            <w:proofErr w:type="spellEnd"/>
            <w:r w:rsidRPr="00B332BA">
              <w:rPr>
                <w:rFonts w:ascii="Times New Roman" w:hAnsi="Times New Roman" w:cs="Times New Roman"/>
                <w:sz w:val="24"/>
                <w:szCs w:val="24"/>
              </w:rPr>
              <w:t xml:space="preserve"> полосы лесов</w:t>
            </w:r>
          </w:p>
        </w:tc>
        <w:tc>
          <w:tcPr>
            <w:tcW w:w="776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7" w:type="dxa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32BA" w:rsidRPr="00B332BA">
        <w:tc>
          <w:tcPr>
            <w:tcW w:w="2608" w:type="dxa"/>
          </w:tcPr>
          <w:p w:rsidR="00B332BA" w:rsidRPr="00B332BA" w:rsidRDefault="00B332B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4. Особо защитные участки лесов</w:t>
            </w:r>
          </w:p>
        </w:tc>
        <w:tc>
          <w:tcPr>
            <w:tcW w:w="6458" w:type="dxa"/>
            <w:gridSpan w:val="7"/>
          </w:tcPr>
          <w:p w:rsidR="00B332BA" w:rsidRPr="00B332BA" w:rsidRDefault="00B33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BA">
              <w:rPr>
                <w:rFonts w:ascii="Times New Roman" w:hAnsi="Times New Roman" w:cs="Times New Roman"/>
                <w:sz w:val="24"/>
                <w:szCs w:val="24"/>
              </w:rPr>
              <w:t>Не лимитируется</w:t>
            </w:r>
          </w:p>
        </w:tc>
      </w:tr>
    </w:tbl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2BA" w:rsidRPr="00B332BA" w:rsidRDefault="00B332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B332BA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B332BA" w:rsidSect="000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BA"/>
    <w:rsid w:val="007A51BE"/>
    <w:rsid w:val="00AF3214"/>
    <w:rsid w:val="00B26BDD"/>
    <w:rsid w:val="00B3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BA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2BA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2BA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1E93CF6C4BC1618AA4BBFFD049559737BBE1B7582FF81A091A1E199840E2744632991DB65CA97y2XDM" TargetMode="External"/><Relationship Id="rId13" Type="http://schemas.openxmlformats.org/officeDocument/2006/relationships/hyperlink" Target="consultantplus://offline/ref=2341E93CF6C4BC1618AA4BBFFD0495597078B3137186FF81A091A1E199840E2744632991DB65CF90y2XFM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2341E93CF6C4BC1618AA4BBFFD049559737BBE1B7582FF81A091A1E199840E2744632991DB65CB96y2X7M" TargetMode="External"/><Relationship Id="rId12" Type="http://schemas.openxmlformats.org/officeDocument/2006/relationships/hyperlink" Target="consultantplus://offline/ref=2341E93CF6C4BC1618AA4BBFFD049559737BB21F7189FF81A091A1E199840E2744632991DB65CF93y2X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1E93CF6C4BC1618AA4BBFFD0495597073B71C7C86FF81A091A1E199y8X4M" TargetMode="External"/><Relationship Id="rId11" Type="http://schemas.openxmlformats.org/officeDocument/2006/relationships/hyperlink" Target="consultantplus://offline/ref=2341E93CF6C4BC1618AA4BBFFD049559737BBE1B7582FF81A091A1E199840E2744632993DCy6X3M" TargetMode="External"/><Relationship Id="rId5" Type="http://schemas.openxmlformats.org/officeDocument/2006/relationships/hyperlink" Target="consultantplus://offline/ref=2341E93CF6C4BC1618AA4BBFFD049559737BBE1B7582FF81A091A1E199840E2744632993D3y6XCM" TargetMode="External"/><Relationship Id="rId15" Type="http://schemas.openxmlformats.org/officeDocument/2006/relationships/hyperlink" Target="consultantplus://offline/ref=2341E93CF6C4BC1618AA4BBFFD049559737BBE1B7582FF81A091A1E199840E2744632992D9y6X0M" TargetMode="External"/><Relationship Id="rId10" Type="http://schemas.openxmlformats.org/officeDocument/2006/relationships/hyperlink" Target="consultantplus://offline/ref=2341E93CF6C4BC1618AA4BBFFD049559737BBE1B7582FF81A091A1E199840E2744632991DB65C990y2XFM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41E93CF6C4BC1618AA4BBFFD049559737BBE1B7582FF81A091A1E199840E2744632991DB64CF95y2X9M" TargetMode="External"/><Relationship Id="rId14" Type="http://schemas.openxmlformats.org/officeDocument/2006/relationships/hyperlink" Target="consultantplus://offline/ref=2341E93CF6C4BC1618AA4BBFFD0495597078B2187780FF81A091A1E199840E2744632991DB65CF91y2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XXJ7TYMEEKJ2-7157-18</_dlc_DocId>
    <_dlc_DocIdUrl xmlns="57504d04-691e-4fc4-8f09-4f19fdbe90f6">
      <Url>https://vip.gov.mari.ru/minles/_layouts/DocIdRedir.aspx?ID=XXJ7TYMEEKJ2-7157-18</Url>
      <Description>XXJ7TYMEEKJ2-7157-18</Description>
    </_dlc_DocIdUrl>
  </documentManagement>
</p:properties>
</file>

<file path=customXml/itemProps1.xml><?xml version="1.0" encoding="utf-8"?>
<ds:datastoreItem xmlns:ds="http://schemas.openxmlformats.org/officeDocument/2006/customXml" ds:itemID="{E8408CE2-C24B-4B07-A310-3B80BAB8FD4E}"/>
</file>

<file path=customXml/itemProps2.xml><?xml version="1.0" encoding="utf-8"?>
<ds:datastoreItem xmlns:ds="http://schemas.openxmlformats.org/officeDocument/2006/customXml" ds:itemID="{AFBFFDCF-AA5C-489C-8C9E-7EF9CC7977A3}"/>
</file>

<file path=customXml/itemProps3.xml><?xml version="1.0" encoding="utf-8"?>
<ds:datastoreItem xmlns:ds="http://schemas.openxmlformats.org/officeDocument/2006/customXml" ds:itemID="{2532825C-BF23-479B-8A02-395EA532AF26}"/>
</file>

<file path=customXml/itemProps4.xml><?xml version="1.0" encoding="utf-8"?>
<ds:datastoreItem xmlns:ds="http://schemas.openxmlformats.org/officeDocument/2006/customXml" ds:itemID="{790FFDCB-B2B0-45F3-84EF-B86C2037A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2893</Words>
  <Characters>16495</Characters>
  <Application>Microsoft Office Word</Application>
  <DocSecurity>0</DocSecurity>
  <Lines>137</Lines>
  <Paragraphs>38</Paragraphs>
  <ScaleCrop>false</ScaleCrop>
  <Company>Minles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1-4-8 Правила осуществления мероприятий по предупреждению распространения вредных организмов</dc:title>
  <dc:subject/>
  <dc:creator>Дербенев</dc:creator>
  <cp:keywords/>
  <dc:description/>
  <cp:lastModifiedBy>Дербенев</cp:lastModifiedBy>
  <cp:revision>1</cp:revision>
  <dcterms:created xsi:type="dcterms:W3CDTF">2017-10-09T12:23:00Z</dcterms:created>
  <dcterms:modified xsi:type="dcterms:W3CDTF">2017-10-09T12:25:00Z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1ffa1130-51c0-4ff1-a8f1-39b7dcf73072</vt:lpwstr>
  </property>
</Properties>
</file>