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544441" w:rsidP="00CB2DBD">
      <w:pPr>
        <w:pStyle w:val="2"/>
        <w:rPr>
          <w:b/>
        </w:rPr>
      </w:pPr>
      <w:r>
        <w:rPr>
          <w:b/>
        </w:rPr>
        <w:t>Объявление о конкурсе</w:t>
      </w:r>
      <w:r w:rsidR="00E922A7">
        <w:rPr>
          <w:b/>
        </w:rPr>
        <w:t xml:space="preserve">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Pr="00544441" w:rsidRDefault="00CB2DBD" w:rsidP="00544441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>о</w:t>
      </w:r>
      <w:r w:rsidR="003A1F10">
        <w:rPr>
          <w:szCs w:val="28"/>
        </w:rPr>
        <w:t xml:space="preserve">бъявляет </w:t>
      </w:r>
      <w:r w:rsidR="003A1F10">
        <w:rPr>
          <w:szCs w:val="28"/>
        </w:rPr>
        <w:br/>
        <w:t>о проведении конкурса</w:t>
      </w:r>
      <w:r w:rsidRPr="006767F4">
        <w:rPr>
          <w:szCs w:val="28"/>
        </w:rPr>
        <w:t xml:space="preserve"> на замещение вакантн</w:t>
      </w:r>
      <w:r w:rsidR="003A1F10">
        <w:rPr>
          <w:szCs w:val="28"/>
        </w:rPr>
        <w:t>ой</w:t>
      </w:r>
      <w:r w:rsidR="00E922A7">
        <w:rPr>
          <w:szCs w:val="28"/>
        </w:rPr>
        <w:t xml:space="preserve"> </w:t>
      </w:r>
      <w:r w:rsidRPr="006767F4">
        <w:rPr>
          <w:szCs w:val="28"/>
        </w:rPr>
        <w:t>должност</w:t>
      </w:r>
      <w:r w:rsidR="003A1F10">
        <w:rPr>
          <w:szCs w:val="28"/>
        </w:rPr>
        <w:t>и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544441">
        <w:rPr>
          <w:szCs w:val="28"/>
        </w:rPr>
        <w:t xml:space="preserve"> </w:t>
      </w:r>
      <w:r w:rsidR="00612EC2">
        <w:rPr>
          <w:b/>
          <w:szCs w:val="28"/>
        </w:rPr>
        <w:t>с</w:t>
      </w:r>
      <w:r w:rsidR="00E922A7">
        <w:rPr>
          <w:b/>
          <w:szCs w:val="28"/>
        </w:rPr>
        <w:t xml:space="preserve">екретаря мирового судьи судебного участка № </w:t>
      </w:r>
      <w:r w:rsidR="0053182E">
        <w:rPr>
          <w:b/>
          <w:szCs w:val="28"/>
        </w:rPr>
        <w:t>1</w:t>
      </w:r>
      <w:r w:rsidR="00141043">
        <w:rPr>
          <w:b/>
          <w:szCs w:val="28"/>
        </w:rPr>
        <w:t xml:space="preserve"> </w:t>
      </w:r>
      <w:r w:rsidR="00431283">
        <w:rPr>
          <w:b/>
          <w:szCs w:val="28"/>
        </w:rPr>
        <w:t>Йошкар-Олинского</w:t>
      </w:r>
      <w:r w:rsidR="00E922A7">
        <w:rPr>
          <w:b/>
          <w:szCs w:val="28"/>
        </w:rPr>
        <w:t xml:space="preserve"> суде</w:t>
      </w:r>
      <w:r w:rsidR="00431283">
        <w:rPr>
          <w:b/>
          <w:szCs w:val="28"/>
        </w:rPr>
        <w:t>бного района: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 Республики Марий Эл от 21 декабря 2000 г. № 51-З «О создании должностей мир</w:t>
      </w:r>
      <w:r w:rsidR="00BA45C4">
        <w:rPr>
          <w:rFonts w:ascii="Times New Roman" w:hAnsi="Times New Roman" w:cs="Times New Roman"/>
          <w:sz w:val="28"/>
          <w:szCs w:val="28"/>
        </w:rPr>
        <w:t xml:space="preserve">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августа 2011 г. №</w:t>
      </w:r>
      <w:r w:rsidR="00BA45C4">
        <w:rPr>
          <w:rFonts w:ascii="Times New Roman" w:hAnsi="Times New Roman" w:cs="Times New Roman"/>
          <w:sz w:val="28"/>
          <w:szCs w:val="28"/>
        </w:rPr>
        <w:t xml:space="preserve">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 от 26 января 2018 г. № 29 «Вопросы Министерства внутренней политики, ра</w:t>
      </w:r>
      <w:r w:rsidR="00BA45C4">
        <w:rPr>
          <w:rFonts w:ascii="Times New Roman" w:hAnsi="Times New Roman" w:cs="Times New Roman"/>
          <w:sz w:val="28"/>
          <w:szCs w:val="28"/>
        </w:rPr>
        <w:t xml:space="preserve">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Эл», Инструкция по судебному делопроизводству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BA45C4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BA45C4">
        <w:rPr>
          <w:rFonts w:eastAsia="Calibri"/>
          <w:sz w:val="28"/>
          <w:szCs w:val="28"/>
        </w:rPr>
        <w:t xml:space="preserve"> </w:t>
      </w:r>
      <w:r w:rsidR="00BA45C4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 xml:space="preserve">принципы работы </w:t>
      </w:r>
      <w:r w:rsidR="00BA45C4">
        <w:rPr>
          <w:rFonts w:eastAsia="Calibri"/>
          <w:sz w:val="28"/>
          <w:szCs w:val="28"/>
        </w:rPr>
        <w:br/>
      </w:r>
      <w:r w:rsidR="00BA45C4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BA45C4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BA45C4">
        <w:rPr>
          <w:rFonts w:eastAsia="Calibri"/>
          <w:sz w:val="28"/>
          <w:szCs w:val="28"/>
        </w:rPr>
        <w:t>аудиовидеофиксации</w:t>
      </w:r>
      <w:proofErr w:type="spellEnd"/>
      <w:r w:rsidR="00BA45C4">
        <w:rPr>
          <w:rFonts w:eastAsia="Calibri"/>
          <w:sz w:val="28"/>
          <w:szCs w:val="28"/>
        </w:rPr>
        <w:t xml:space="preserve"> </w:t>
      </w:r>
      <w:r w:rsidR="00BA45C4">
        <w:rPr>
          <w:rFonts w:eastAsia="Calibri"/>
          <w:sz w:val="28"/>
          <w:szCs w:val="28"/>
        </w:rPr>
        <w:br/>
        <w:t xml:space="preserve">и </w:t>
      </w:r>
      <w:r w:rsidR="00BA45C4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>методы судебной статистики</w:t>
      </w:r>
      <w:r w:rsidR="00BA45C4"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2E47F5" w:rsidRPr="00876E16" w:rsidRDefault="002E47F5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5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</w:t>
      </w:r>
      <w:r w:rsidR="000E0BA8">
        <w:rPr>
          <w:szCs w:val="28"/>
        </w:rPr>
        <w:t>ар-Ола, наб.</w:t>
      </w:r>
      <w:r w:rsidR="00BA45C4">
        <w:rPr>
          <w:szCs w:val="28"/>
        </w:rPr>
        <w:t xml:space="preserve"> </w:t>
      </w:r>
      <w:r w:rsidR="000E0BA8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="000E0BA8">
        <w:rPr>
          <w:szCs w:val="28"/>
        </w:rPr>
        <w:t xml:space="preserve">2, </w:t>
      </w:r>
      <w:proofErr w:type="spellStart"/>
      <w:r w:rsidR="000E0BA8">
        <w:rPr>
          <w:szCs w:val="28"/>
        </w:rPr>
        <w:t>каб</w:t>
      </w:r>
      <w:proofErr w:type="spellEnd"/>
      <w:r w:rsidR="000E0BA8">
        <w:rPr>
          <w:szCs w:val="28"/>
        </w:rPr>
        <w:t>.</w:t>
      </w:r>
      <w:r w:rsidR="00BA45C4">
        <w:rPr>
          <w:szCs w:val="28"/>
        </w:rPr>
        <w:t xml:space="preserve"> </w:t>
      </w:r>
      <w:r w:rsidR="000E0BA8">
        <w:rPr>
          <w:szCs w:val="28"/>
        </w:rPr>
        <w:t>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</w:t>
      </w:r>
      <w:r w:rsidR="00B46958">
        <w:rPr>
          <w:sz w:val="28"/>
          <w:szCs w:val="28"/>
        </w:rPr>
        <w:t>олагаемая дата проведения второго этапа конкурса</w:t>
      </w:r>
      <w:r w:rsidRPr="006767F4">
        <w:rPr>
          <w:sz w:val="28"/>
          <w:szCs w:val="28"/>
        </w:rPr>
        <w:t xml:space="preserve"> –</w:t>
      </w:r>
      <w:r w:rsidRPr="006767F4">
        <w:rPr>
          <w:sz w:val="28"/>
          <w:szCs w:val="28"/>
        </w:rPr>
        <w:br/>
      </w:r>
      <w:r w:rsidR="00A0793A">
        <w:rPr>
          <w:sz w:val="28"/>
          <w:szCs w:val="28"/>
        </w:rPr>
        <w:t>сентябрь</w:t>
      </w:r>
      <w:bookmarkStart w:id="0" w:name="_GoBack"/>
      <w:bookmarkEnd w:id="0"/>
      <w:r w:rsidR="006621FF">
        <w:rPr>
          <w:sz w:val="28"/>
          <w:szCs w:val="28"/>
        </w:rPr>
        <w:t xml:space="preserve"> 2022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B46958" w:rsidP="00CB2DBD">
      <w:pPr>
        <w:pStyle w:val="a3"/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>Место проведения второго этапа конкурса</w:t>
      </w:r>
      <w:r w:rsidR="00CB2DBD" w:rsidRPr="006767F4">
        <w:rPr>
          <w:szCs w:val="28"/>
        </w:rPr>
        <w:t xml:space="preserve">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="00CB2DBD" w:rsidRPr="006767F4">
          <w:rPr>
            <w:szCs w:val="28"/>
          </w:rPr>
          <w:t>424033, г</w:t>
        </w:r>
      </w:smartTag>
      <w:r w:rsidR="00CB2DBD"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="00CB2DBD" w:rsidRPr="006767F4">
        <w:rPr>
          <w:szCs w:val="28"/>
        </w:rPr>
        <w:t>Йошкар-Ола, наб.</w:t>
      </w:r>
      <w:proofErr w:type="gramEnd"/>
      <w:r w:rsidR="00BA45C4">
        <w:rPr>
          <w:szCs w:val="28"/>
        </w:rPr>
        <w:t xml:space="preserve"> </w:t>
      </w:r>
      <w:proofErr w:type="gramStart"/>
      <w:r w:rsidR="00CB2DBD" w:rsidRPr="006767F4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="00CB2DBD" w:rsidRPr="006767F4">
        <w:rPr>
          <w:szCs w:val="28"/>
        </w:rPr>
        <w:t xml:space="preserve">2, 2 этаж, </w:t>
      </w:r>
      <w:proofErr w:type="spellStart"/>
      <w:r w:rsidR="00CB2DBD" w:rsidRPr="006767F4">
        <w:rPr>
          <w:szCs w:val="28"/>
        </w:rPr>
        <w:t>каб</w:t>
      </w:r>
      <w:proofErr w:type="spellEnd"/>
      <w:r w:rsidR="00CB2DBD"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="00CB2DBD" w:rsidRPr="006767F4">
        <w:rPr>
          <w:szCs w:val="28"/>
        </w:rPr>
        <w:t>233).</w:t>
      </w:r>
      <w:proofErr w:type="gramEnd"/>
    </w:p>
    <w:p w:rsidR="00CB2DBD" w:rsidRPr="006767F4" w:rsidRDefault="00B46958" w:rsidP="00CB2DBD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>Порядок проведения второго этапа конкурса</w:t>
      </w:r>
      <w:r w:rsidR="00CB2DBD" w:rsidRPr="006767F4">
        <w:rPr>
          <w:szCs w:val="28"/>
        </w:rPr>
        <w:t xml:space="preserve"> – тестирование </w:t>
      </w:r>
      <w:r w:rsidR="00CB2DBD"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</w:t>
      </w:r>
      <w:r w:rsidR="00B46958">
        <w:rPr>
          <w:szCs w:val="28"/>
        </w:rPr>
        <w:t>подробную информацию о конкурсе</w:t>
      </w:r>
      <w:r w:rsidRPr="006767F4">
        <w:rPr>
          <w:szCs w:val="28"/>
        </w:rPr>
        <w:t xml:space="preserve">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16"/>
      <w:headerReference w:type="default" r:id="rId17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86" w:rsidRDefault="005F3286" w:rsidP="00B77ADE">
      <w:r>
        <w:separator/>
      </w:r>
    </w:p>
  </w:endnote>
  <w:endnote w:type="continuationSeparator" w:id="0">
    <w:p w:rsidR="005F3286" w:rsidRDefault="005F3286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86" w:rsidRDefault="005F3286" w:rsidP="00B77ADE">
      <w:r>
        <w:separator/>
      </w:r>
    </w:p>
  </w:footnote>
  <w:footnote w:type="continuationSeparator" w:id="0">
    <w:p w:rsidR="005F3286" w:rsidRDefault="005F3286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93A">
      <w:rPr>
        <w:rStyle w:val="a7"/>
        <w:noProof/>
      </w:rPr>
      <w:t>2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141043"/>
    <w:rsid w:val="001E765B"/>
    <w:rsid w:val="0020104B"/>
    <w:rsid w:val="002222CF"/>
    <w:rsid w:val="00273EAF"/>
    <w:rsid w:val="002E47F5"/>
    <w:rsid w:val="00352CB5"/>
    <w:rsid w:val="003703D2"/>
    <w:rsid w:val="00396E4A"/>
    <w:rsid w:val="003A1F10"/>
    <w:rsid w:val="00431283"/>
    <w:rsid w:val="0047013E"/>
    <w:rsid w:val="004E6BDF"/>
    <w:rsid w:val="0053182E"/>
    <w:rsid w:val="005412D8"/>
    <w:rsid w:val="00544441"/>
    <w:rsid w:val="00585126"/>
    <w:rsid w:val="005B19EA"/>
    <w:rsid w:val="005D6BA6"/>
    <w:rsid w:val="005F3286"/>
    <w:rsid w:val="006015C1"/>
    <w:rsid w:val="00612EC2"/>
    <w:rsid w:val="006621FF"/>
    <w:rsid w:val="0067159C"/>
    <w:rsid w:val="006B0076"/>
    <w:rsid w:val="007525EE"/>
    <w:rsid w:val="00814E99"/>
    <w:rsid w:val="00845201"/>
    <w:rsid w:val="008452C1"/>
    <w:rsid w:val="00876E16"/>
    <w:rsid w:val="008B7E27"/>
    <w:rsid w:val="009C7180"/>
    <w:rsid w:val="009E6710"/>
    <w:rsid w:val="00A0793A"/>
    <w:rsid w:val="00A76897"/>
    <w:rsid w:val="00AA570F"/>
    <w:rsid w:val="00AD5476"/>
    <w:rsid w:val="00B46958"/>
    <w:rsid w:val="00B5533D"/>
    <w:rsid w:val="00B77ADE"/>
    <w:rsid w:val="00BA45C4"/>
    <w:rsid w:val="00CB2DBD"/>
    <w:rsid w:val="00D41FF6"/>
    <w:rsid w:val="00D44E6A"/>
    <w:rsid w:val="00DA6382"/>
    <w:rsid w:val="00DD24B5"/>
    <w:rsid w:val="00DF64E3"/>
    <w:rsid w:val="00E922A7"/>
    <w:rsid w:val="00F06972"/>
    <w:rsid w:val="00F06A90"/>
    <w:rsid w:val="00F97C02"/>
    <w:rsid w:val="00FD73F0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AA94FA4C9541196149B132CB759144E8769C55A3D2CC92AFDD700E5CD860AB4AC869CDD25E2AEwC2E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главного специалиста-эксперта отдела организационного 
и информационного обеспечения
</_x041e__x043f__x0438__x0441__x0430__x043d__x0438__x0435_>
    <_dlc_DocId xmlns="57504d04-691e-4fc4-8f09-4f19fdbe90f6">XXJ7TYMEEKJ2-122-127</_dlc_DocId>
    <_dlc_DocIdUrl xmlns="57504d04-691e-4fc4-8f09-4f19fdbe90f6">
      <Url>https://vip.gov.mari.ru/minjust/_layouts/DocIdRedir.aspx?ID=XXJ7TYMEEKJ2-122-127</Url>
      <Description>XXJ7TYMEEKJ2-122-127</Description>
    </_dlc_DocIdUrl>
  </documentManagement>
</p:properties>
</file>

<file path=customXml/itemProps1.xml><?xml version="1.0" encoding="utf-8"?>
<ds:datastoreItem xmlns:ds="http://schemas.openxmlformats.org/officeDocument/2006/customXml" ds:itemID="{AFAB0F48-A40F-4721-A21F-54C1A3955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1795-DCA6-4CB0-B720-FF9E3C7BD2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4D037E-AF19-43B1-823F-841C9CDB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7575E-CC10-4EDE-89FB-A84CAF91F52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18.01.2021 г.</dc:title>
  <dc:creator>Соловьева Ирина Аркадьевна</dc:creator>
  <cp:lastModifiedBy>Паршина В.</cp:lastModifiedBy>
  <cp:revision>2</cp:revision>
  <cp:lastPrinted>2021-10-04T12:08:00Z</cp:lastPrinted>
  <dcterms:created xsi:type="dcterms:W3CDTF">2022-08-02T06:29:00Z</dcterms:created>
  <dcterms:modified xsi:type="dcterms:W3CDTF">2022-08-02T06:29:00Z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b942ae69-250a-4a0f-947a-8441662d1f28</vt:lpwstr>
  </property>
</Properties>
</file>