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843CEA" w:rsidTr="00843CEA">
        <w:tc>
          <w:tcPr>
            <w:tcW w:w="3966" w:type="dxa"/>
            <w:hideMark/>
          </w:tcPr>
          <w:p w:rsidR="00843CEA" w:rsidRPr="00B61600" w:rsidRDefault="00843CEA" w:rsidP="0084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Унчо</w:t>
            </w:r>
            <w:proofErr w:type="spellEnd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843CEA" w:rsidRDefault="00843CEA" w:rsidP="00843CEA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8"/>
              </w:rPr>
            </w:pP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843CEA" w:rsidRDefault="00843CEA" w:rsidP="00843CEA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8"/>
              </w:rPr>
            </w:pPr>
            <w:r>
              <w:rPr>
                <w:rFonts w:ascii="Calibri" w:hAnsi="Calibri"/>
                <w:b/>
                <w:noProof/>
                <w:lang w:eastAsia="ru-RU"/>
              </w:rPr>
              <w:drawing>
                <wp:inline distT="0" distB="0" distL="0" distR="0">
                  <wp:extent cx="520700" cy="574040"/>
                  <wp:effectExtent l="19050" t="0" r="0" b="0"/>
                  <wp:docPr id="1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843CEA" w:rsidRPr="00B61600" w:rsidRDefault="00843CEA" w:rsidP="0084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843CEA" w:rsidRDefault="00843CEA" w:rsidP="00843CEA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B6160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843CEA" w:rsidRPr="00B61600" w:rsidTr="00843CEA">
        <w:tc>
          <w:tcPr>
            <w:tcW w:w="3966" w:type="dxa"/>
            <w:hideMark/>
          </w:tcPr>
          <w:p w:rsidR="00843CEA" w:rsidRPr="00B61600" w:rsidRDefault="00843CEA" w:rsidP="00843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00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Унчо</w:t>
            </w:r>
            <w:proofErr w:type="spellEnd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 xml:space="preserve"> ял,   Т. Ефремов </w:t>
            </w:r>
            <w:proofErr w:type="spellStart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843CEA" w:rsidRPr="00B61600" w:rsidRDefault="00843CEA" w:rsidP="0084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CEA" w:rsidRPr="00B61600" w:rsidRDefault="00843CEA" w:rsidP="0084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00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с. </w:t>
            </w:r>
            <w:proofErr w:type="spellStart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B61600">
              <w:rPr>
                <w:rFonts w:ascii="Times New Roman" w:hAnsi="Times New Roman" w:cs="Times New Roman"/>
                <w:sz w:val="24"/>
                <w:szCs w:val="24"/>
              </w:rPr>
              <w:t>, ул. Т. Ефремова, д. 39, тел(83635)9-43-45</w:t>
            </w:r>
          </w:p>
          <w:p w:rsidR="00843CEA" w:rsidRPr="00B61600" w:rsidRDefault="00843CEA" w:rsidP="0084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A" w:rsidTr="00843CEA">
        <w:tc>
          <w:tcPr>
            <w:tcW w:w="3966" w:type="dxa"/>
          </w:tcPr>
          <w:p w:rsidR="00843CEA" w:rsidRDefault="00843CEA" w:rsidP="00843CEA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843CEA" w:rsidRDefault="00843CEA" w:rsidP="00843CE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843CEA" w:rsidRDefault="00843CEA" w:rsidP="00843CE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</w:tbl>
    <w:p w:rsidR="00843CEA" w:rsidRPr="00843CEA" w:rsidRDefault="00843CEA" w:rsidP="00843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CEA" w:rsidRPr="00843CEA" w:rsidRDefault="00843CEA" w:rsidP="00843CEA">
      <w:pPr>
        <w:pStyle w:val="2"/>
        <w:ind w:firstLine="0"/>
        <w:jc w:val="center"/>
        <w:rPr>
          <w:b/>
          <w:bCs/>
        </w:rPr>
      </w:pPr>
    </w:p>
    <w:p w:rsidR="00843CEA" w:rsidRPr="00843CEA" w:rsidRDefault="00843CEA" w:rsidP="0084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C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3C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43CEA" w:rsidRPr="00843CEA" w:rsidRDefault="00843CEA" w:rsidP="0084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EA" w:rsidRPr="00843CEA" w:rsidRDefault="00843CEA" w:rsidP="00843CEA">
      <w:pPr>
        <w:shd w:val="clear" w:color="auto" w:fill="FFFFFF"/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E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Pr="00843CEA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843CEA" w:rsidRPr="00843CEA" w:rsidRDefault="00843CEA" w:rsidP="00843CEA">
      <w:pPr>
        <w:shd w:val="clear" w:color="auto" w:fill="FFFFFF"/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CEA">
        <w:rPr>
          <w:rFonts w:ascii="Times New Roman" w:hAnsi="Times New Roman" w:cs="Times New Roman"/>
          <w:b/>
          <w:bCs/>
          <w:sz w:val="28"/>
          <w:szCs w:val="28"/>
        </w:rPr>
        <w:t>Шоруньжинского</w:t>
      </w:r>
      <w:proofErr w:type="spellEnd"/>
      <w:r w:rsidRPr="00843C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43CEA" w:rsidRPr="00843CEA" w:rsidRDefault="00843CEA" w:rsidP="00843CEA">
      <w:pPr>
        <w:shd w:val="clear" w:color="auto" w:fill="FFFFFF"/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EA" w:rsidRPr="00843CEA" w:rsidRDefault="00843CEA" w:rsidP="00843CEA">
      <w:pPr>
        <w:shd w:val="clear" w:color="auto" w:fill="FFFFFF"/>
        <w:spacing w:after="0" w:line="240" w:lineRule="auto"/>
        <w:ind w:firstLine="654"/>
        <w:rPr>
          <w:rFonts w:ascii="Times New Roman" w:hAnsi="Times New Roman" w:cs="Times New Roman"/>
          <w:bCs/>
          <w:sz w:val="28"/>
          <w:szCs w:val="28"/>
        </w:rPr>
      </w:pPr>
      <w:r w:rsidRPr="00843C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E6DFD">
        <w:rPr>
          <w:rFonts w:ascii="Times New Roman" w:hAnsi="Times New Roman" w:cs="Times New Roman"/>
          <w:bCs/>
          <w:sz w:val="28"/>
          <w:szCs w:val="28"/>
        </w:rPr>
        <w:t>145</w:t>
      </w:r>
      <w:r w:rsidRPr="00843C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FE6DFD">
        <w:rPr>
          <w:rFonts w:ascii="Times New Roman" w:hAnsi="Times New Roman" w:cs="Times New Roman"/>
          <w:bCs/>
          <w:sz w:val="28"/>
          <w:szCs w:val="28"/>
        </w:rPr>
        <w:t xml:space="preserve">20 июня </w:t>
      </w:r>
      <w:r w:rsidR="00B61600">
        <w:rPr>
          <w:rFonts w:ascii="Times New Roman" w:hAnsi="Times New Roman" w:cs="Times New Roman"/>
          <w:bCs/>
          <w:sz w:val="28"/>
          <w:szCs w:val="28"/>
        </w:rPr>
        <w:t>2023  г</w:t>
      </w:r>
      <w:r w:rsidR="00FE6DFD"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843CEA" w:rsidRPr="00843CEA" w:rsidRDefault="00843CEA" w:rsidP="00843CEA">
      <w:pPr>
        <w:shd w:val="clear" w:color="auto" w:fill="FFFFFF"/>
        <w:spacing w:after="0" w:line="240" w:lineRule="auto"/>
        <w:ind w:firstLine="654"/>
        <w:rPr>
          <w:rFonts w:ascii="Times New Roman" w:hAnsi="Times New Roman" w:cs="Times New Roman"/>
          <w:bCs/>
          <w:sz w:val="28"/>
          <w:szCs w:val="28"/>
        </w:rPr>
      </w:pPr>
      <w:r w:rsidRPr="00843CEA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1D0010" w:rsidRPr="00843CEA" w:rsidRDefault="001D0010" w:rsidP="00843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Pr="00843CEA" w:rsidRDefault="001D0010" w:rsidP="00843CEA">
      <w:pPr>
        <w:pStyle w:val="ae"/>
        <w:jc w:val="center"/>
        <w:rPr>
          <w:rFonts w:ascii="Times New Roman" w:hAnsi="Times New Roman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Шоруньжинского</w:t>
      </w:r>
      <w:proofErr w:type="spellEnd"/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proofErr w:type="spellStart"/>
      <w:r w:rsidR="00843CEA">
        <w:rPr>
          <w:rFonts w:ascii="Times New Roman" w:hAnsi="Times New Roman"/>
          <w:bCs/>
          <w:sz w:val="28"/>
          <w:szCs w:val="28"/>
        </w:rPr>
        <w:t>Шоруньжинского</w:t>
      </w:r>
      <w:proofErr w:type="spellEnd"/>
      <w:r w:rsidR="00843CEA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Внести в Устав </w:t>
      </w:r>
      <w:proofErr w:type="spellStart"/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proofErr w:type="spellStart"/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proofErr w:type="spellStart"/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28.10.2020 № 53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CEA">
        <w:rPr>
          <w:rFonts w:ascii="Times New Roman" w:eastAsia="Times New Roman" w:hAnsi="Times New Roman" w:cs="Times New Roman"/>
          <w:sz w:val="28"/>
          <w:szCs w:val="28"/>
          <w:lang w:eastAsia="ru-RU"/>
        </w:rPr>
        <w:t>56, от 18.11.2021 № 90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E04A4C" w:rsidRPr="00C72E80" w:rsidRDefault="003F7525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4C" w:rsidRPr="00C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3:</w:t>
      </w:r>
    </w:p>
    <w:p w:rsidR="00E04A4C" w:rsidRPr="003F7525" w:rsidRDefault="00E04A4C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25 слова «, а также осуществление муниципального контроля в области использования и </w:t>
      </w:r>
      <w:proofErr w:type="gramStart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значения» исключить;</w:t>
      </w:r>
    </w:p>
    <w:p w:rsidR="00E04A4C" w:rsidRPr="003F7525" w:rsidRDefault="00223139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E04A4C" w:rsidRPr="00C72E80" w:rsidRDefault="00223139" w:rsidP="002231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«, проведение открытого аукциона на право заключить договор о создании искусственного земельного участка» исключить;  </w:t>
      </w:r>
      <w:bookmarkStart w:id="0" w:name="sub_14137"/>
    </w:p>
    <w:bookmarkEnd w:id="0"/>
    <w:p w:rsidR="001F0E2F" w:rsidRP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4A4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19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назначается Собранием депутатов</w:t>
      </w:r>
      <w:r w:rsidR="00C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Федерации, достигших на день представления сходом граждан 18 лет и имеющих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C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</w:t>
      </w:r>
      <w:r w:rsidR="00CB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C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25 дополнить частью 7.1 следующего содержания:</w:t>
      </w:r>
    </w:p>
    <w:p w:rsidR="00FE379D" w:rsidRDefault="00FE379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proofErr w:type="spellStart"/>
      <w:r w:rsidR="00B616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B6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Шоруньжинского</w:t>
      </w:r>
      <w:proofErr w:type="spellEnd"/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6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Григорьев</w:t>
      </w:r>
    </w:p>
    <w:sectPr w:rsidR="00B014A9" w:rsidRPr="00B014A9" w:rsidSect="00B61600">
      <w:headerReference w:type="even" r:id="rId7"/>
      <w:headerReference w:type="default" r:id="rId8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5D" w:rsidRDefault="00940A5D" w:rsidP="001F0E2F">
      <w:pPr>
        <w:spacing w:after="0" w:line="240" w:lineRule="auto"/>
      </w:pPr>
      <w:r>
        <w:separator/>
      </w:r>
    </w:p>
  </w:endnote>
  <w:endnote w:type="continuationSeparator" w:id="0">
    <w:p w:rsidR="00940A5D" w:rsidRDefault="00940A5D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5D" w:rsidRDefault="00940A5D" w:rsidP="001F0E2F">
      <w:pPr>
        <w:spacing w:after="0" w:line="240" w:lineRule="auto"/>
      </w:pPr>
      <w:r>
        <w:separator/>
      </w:r>
    </w:p>
  </w:footnote>
  <w:footnote w:type="continuationSeparator" w:id="0">
    <w:p w:rsidR="00940A5D" w:rsidRDefault="00940A5D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E" w:rsidRDefault="003410A4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940A5D" w:rsidP="00A35D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3410A4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35F0"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A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F"/>
    <w:rsid w:val="000071E4"/>
    <w:rsid w:val="000546C8"/>
    <w:rsid w:val="000E2DDD"/>
    <w:rsid w:val="0016616D"/>
    <w:rsid w:val="001A00F0"/>
    <w:rsid w:val="001A718C"/>
    <w:rsid w:val="001D0010"/>
    <w:rsid w:val="001D6D84"/>
    <w:rsid w:val="001F0E2F"/>
    <w:rsid w:val="00223139"/>
    <w:rsid w:val="002C1E82"/>
    <w:rsid w:val="003410A4"/>
    <w:rsid w:val="00362E7F"/>
    <w:rsid w:val="003F43CE"/>
    <w:rsid w:val="003F7525"/>
    <w:rsid w:val="00453447"/>
    <w:rsid w:val="00482941"/>
    <w:rsid w:val="00491D1A"/>
    <w:rsid w:val="004A4889"/>
    <w:rsid w:val="004A5DEB"/>
    <w:rsid w:val="004B1068"/>
    <w:rsid w:val="004E35F0"/>
    <w:rsid w:val="004E5EB0"/>
    <w:rsid w:val="0055567B"/>
    <w:rsid w:val="005828C8"/>
    <w:rsid w:val="005D2D1F"/>
    <w:rsid w:val="00632101"/>
    <w:rsid w:val="00640559"/>
    <w:rsid w:val="00641999"/>
    <w:rsid w:val="00657EA2"/>
    <w:rsid w:val="00666D71"/>
    <w:rsid w:val="006F5F22"/>
    <w:rsid w:val="0073595D"/>
    <w:rsid w:val="007700FC"/>
    <w:rsid w:val="00790864"/>
    <w:rsid w:val="00842E15"/>
    <w:rsid w:val="00843BF9"/>
    <w:rsid w:val="00843CEA"/>
    <w:rsid w:val="008A08D1"/>
    <w:rsid w:val="00922202"/>
    <w:rsid w:val="00940A5D"/>
    <w:rsid w:val="00953832"/>
    <w:rsid w:val="00A10F43"/>
    <w:rsid w:val="00A27A98"/>
    <w:rsid w:val="00A603E8"/>
    <w:rsid w:val="00A7175D"/>
    <w:rsid w:val="00AA66B4"/>
    <w:rsid w:val="00AF018A"/>
    <w:rsid w:val="00AF0638"/>
    <w:rsid w:val="00B014A9"/>
    <w:rsid w:val="00B5233E"/>
    <w:rsid w:val="00B61600"/>
    <w:rsid w:val="00B875EE"/>
    <w:rsid w:val="00C36AE0"/>
    <w:rsid w:val="00CB0A80"/>
    <w:rsid w:val="00CC555D"/>
    <w:rsid w:val="00E04A4C"/>
    <w:rsid w:val="00E44CA2"/>
    <w:rsid w:val="00EC302F"/>
    <w:rsid w:val="00F0665F"/>
    <w:rsid w:val="00F4571F"/>
    <w:rsid w:val="00FE379D"/>
    <w:rsid w:val="00FE6DFD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3CEA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3C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Унчо</cp:lastModifiedBy>
  <cp:revision>9</cp:revision>
  <cp:lastPrinted>2023-07-14T12:35:00Z</cp:lastPrinted>
  <dcterms:created xsi:type="dcterms:W3CDTF">2023-06-04T15:12:00Z</dcterms:created>
  <dcterms:modified xsi:type="dcterms:W3CDTF">2023-07-14T12:35:00Z</dcterms:modified>
</cp:coreProperties>
</file>