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8" w:type="dxa"/>
        <w:jc w:val="center"/>
        <w:tblInd w:w="-1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899"/>
        <w:gridCol w:w="3839"/>
      </w:tblGrid>
      <w:tr w:rsidR="00B15D05" w:rsidTr="008C12C0">
        <w:trPr>
          <w:cantSplit/>
          <w:trHeight w:val="2025"/>
          <w:jc w:val="center"/>
        </w:trPr>
        <w:tc>
          <w:tcPr>
            <w:tcW w:w="3710" w:type="dxa"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МАРИЙ ЭЛ РЕСПУБЛИКЫСЕ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МАРИЕЦ ЯЛ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СОБРАНИЕ ДЕПУТАТОВ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РЕСПУБЛИКИ МАРИЙ ЭЛ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B15D05" w:rsidTr="008C12C0">
        <w:trPr>
          <w:cantSplit/>
          <w:trHeight w:val="507"/>
          <w:jc w:val="center"/>
        </w:trPr>
        <w:tc>
          <w:tcPr>
            <w:tcW w:w="3710" w:type="dxa"/>
            <w:hideMark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B15D0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99" w:type="dxa"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 w:rsidRPr="00B15D05">
              <w:rPr>
                <w:b/>
                <w:sz w:val="28"/>
                <w:szCs w:val="28"/>
              </w:rPr>
              <w:t>РЕШЕНИЕ</w:t>
            </w:r>
          </w:p>
          <w:p w:rsidR="00B15D05" w:rsidRPr="00B15D05" w:rsidRDefault="00B15D0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5D05" w:rsidRDefault="00B15D05" w:rsidP="00B15D0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15D05" w:rsidRDefault="00B15D05" w:rsidP="00B15D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B15D05" w:rsidRDefault="00B15D05" w:rsidP="00B1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D05" w:rsidRDefault="00B15D05" w:rsidP="00B15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D05" w:rsidRDefault="00B15D05" w:rsidP="00B15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XXV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D05" w:rsidRDefault="00B15D05" w:rsidP="00B15D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D05" w:rsidRDefault="00B15D05" w:rsidP="00B15D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D05" w:rsidRDefault="00B15D05" w:rsidP="00B15D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5D05" w:rsidRDefault="00B15D05" w:rsidP="00B15D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30 сентября 2022 года № 200</w:t>
      </w: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E4811">
        <w:rPr>
          <w:rFonts w:ascii="Times New Roman" w:hAnsi="Times New Roman" w:cs="Times New Roman"/>
          <w:b/>
          <w:sz w:val="28"/>
          <w:szCs w:val="28"/>
        </w:rPr>
        <w:t>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Правила благоустройства территории муниципального образования «Марийское сельское поселение»</w:t>
      </w: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CF" w:rsidRDefault="003246CF" w:rsidP="0032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6CF" w:rsidRDefault="00440968" w:rsidP="0032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40968">
        <w:rPr>
          <w:rFonts w:eastAsia="Arial"/>
          <w:sz w:val="28"/>
          <w:szCs w:val="28"/>
        </w:rPr>
        <w:t xml:space="preserve"> </w:t>
      </w:r>
      <w:r w:rsidRPr="00440968">
        <w:rPr>
          <w:rFonts w:ascii="Times New Roman" w:eastAsia="Arial" w:hAnsi="Times New Roman" w:cs="Times New Roman"/>
          <w:sz w:val="28"/>
          <w:szCs w:val="28"/>
        </w:rPr>
        <w:t xml:space="preserve">соответствии с Федеральным законом </w:t>
      </w:r>
      <w:r w:rsidRPr="00440968">
        <w:rPr>
          <w:rFonts w:ascii="Times New Roman" w:hAnsi="Times New Roman" w:cs="Times New Roman"/>
          <w:sz w:val="28"/>
          <w:szCs w:val="28"/>
        </w:rPr>
        <w:t>от 06.10.2003 г. № 131-ФЗ 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 ст.4 Федерального закона от 10.12.1995 № 196-ФЗ «О безопасности дорожного движения»</w:t>
      </w:r>
      <w:r w:rsidR="00FC3319">
        <w:rPr>
          <w:rFonts w:ascii="Times New Roman" w:hAnsi="Times New Roman" w:cs="Times New Roman"/>
          <w:sz w:val="28"/>
          <w:szCs w:val="28"/>
        </w:rPr>
        <w:t xml:space="preserve">, </w:t>
      </w:r>
      <w:r w:rsidR="00FC3319" w:rsidRPr="00FC3319">
        <w:rPr>
          <w:rFonts w:ascii="Times New Roman" w:hAnsi="Times New Roman" w:cs="Times New Roman"/>
          <w:sz w:val="28"/>
          <w:szCs w:val="28"/>
          <w:lang w:eastAsia="ru-RU"/>
        </w:rPr>
        <w:t>статьей 13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</w:t>
      </w:r>
      <w:r w:rsidR="00FC3319">
        <w:rPr>
          <w:rFonts w:ascii="Times New Roman" w:hAnsi="Times New Roman" w:cs="Times New Roman"/>
          <w:sz w:val="28"/>
          <w:szCs w:val="28"/>
          <w:lang w:eastAsia="ru-RU"/>
        </w:rPr>
        <w:t>, Уставом Марийского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Марийского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440968" w:rsidRDefault="00440968" w:rsidP="00440968">
      <w:pPr>
        <w:pStyle w:val="a3"/>
        <w:ind w:firstLine="709"/>
        <w:jc w:val="both"/>
        <w:rPr>
          <w:sz w:val="28"/>
          <w:szCs w:val="28"/>
        </w:rPr>
      </w:pPr>
      <w:r w:rsidRPr="00440968">
        <w:rPr>
          <w:sz w:val="28"/>
          <w:szCs w:val="28"/>
        </w:rPr>
        <w:t>1. Внести в решение Собрания депутатов Марийского сельского поселения от 22.12.2017 № 184 «Об утверждении Правил  благоустройства территории</w:t>
      </w:r>
      <w:r>
        <w:rPr>
          <w:sz w:val="28"/>
          <w:szCs w:val="28"/>
        </w:rPr>
        <w:t xml:space="preserve"> </w:t>
      </w:r>
      <w:r w:rsidRPr="00440968">
        <w:rPr>
          <w:sz w:val="28"/>
          <w:szCs w:val="28"/>
        </w:rPr>
        <w:t>Марийского сельского поселения</w:t>
      </w:r>
      <w:r>
        <w:rPr>
          <w:sz w:val="28"/>
          <w:szCs w:val="28"/>
        </w:rPr>
        <w:t>»</w:t>
      </w:r>
      <w:r w:rsidR="007E4811">
        <w:rPr>
          <w:sz w:val="28"/>
          <w:szCs w:val="28"/>
        </w:rPr>
        <w:t xml:space="preserve"> внести дополнения:</w:t>
      </w:r>
    </w:p>
    <w:p w:rsidR="00180949" w:rsidRDefault="00FC3319" w:rsidP="00FC33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ч</w:t>
      </w:r>
      <w:r w:rsidR="00180949">
        <w:rPr>
          <w:color w:val="000000"/>
          <w:sz w:val="28"/>
          <w:szCs w:val="28"/>
        </w:rPr>
        <w:t xml:space="preserve">асть </w:t>
      </w:r>
      <w:r w:rsidR="00180949">
        <w:rPr>
          <w:color w:val="000000"/>
          <w:sz w:val="28"/>
          <w:szCs w:val="28"/>
          <w:lang w:val="en-US"/>
        </w:rPr>
        <w:t>II</w:t>
      </w:r>
      <w:r w:rsidR="00180949">
        <w:rPr>
          <w:color w:val="000000"/>
          <w:sz w:val="28"/>
          <w:szCs w:val="28"/>
        </w:rPr>
        <w:t xml:space="preserve"> Правил дополнить пунктом 2.8.1 следующего содержания:</w:t>
      </w:r>
    </w:p>
    <w:p w:rsidR="00180949" w:rsidRPr="00180949" w:rsidRDefault="00180949" w:rsidP="00180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color w:val="000000"/>
          <w:sz w:val="28"/>
          <w:szCs w:val="28"/>
        </w:rPr>
        <w:t xml:space="preserve">«2.8.1. </w:t>
      </w:r>
      <w:r w:rsidRPr="00180949">
        <w:rPr>
          <w:rFonts w:ascii="Times New Roman" w:hAnsi="Times New Roman" w:cs="Times New Roman"/>
          <w:sz w:val="28"/>
          <w:szCs w:val="28"/>
        </w:rPr>
        <w:t xml:space="preserve">Выгул домашних животных должен осуществляться на площадках для выгула животных, разрешенных решением органа местного самоуправления при условии обязательного обеспечения безопасности </w:t>
      </w:r>
      <w:r w:rsidRPr="00180949">
        <w:rPr>
          <w:rFonts w:ascii="Times New Roman" w:hAnsi="Times New Roman" w:cs="Times New Roman"/>
          <w:sz w:val="28"/>
          <w:szCs w:val="28"/>
        </w:rPr>
        <w:lastRenderedPageBreak/>
        <w:t>граждан, животных, сохранности имущества физических лиц и юридических лиц.</w:t>
      </w:r>
    </w:p>
    <w:p w:rsidR="00180949" w:rsidRPr="00180949" w:rsidRDefault="00180949" w:rsidP="0018094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80949" w:rsidRPr="00180949" w:rsidRDefault="00180949" w:rsidP="00180949">
      <w:pPr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Расстояние от границы площадок для выгула животных до окон жилых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общественных зданий должно быть </w:t>
      </w:r>
      <w:r w:rsidRPr="00180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менее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40 метров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0949" w:rsidRPr="00180949" w:rsidRDefault="00180949" w:rsidP="0018094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180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600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</w:t>
      </w:r>
      <w:r w:rsidRPr="00613444">
        <w:rPr>
          <w:sz w:val="28"/>
          <w:szCs w:val="28"/>
          <w:lang w:eastAsia="ru-RU"/>
        </w:rPr>
        <w:t xml:space="preserve"> 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t>одноразовых пакетов с фекальной урной, осветительное оборудование, информационный стенд.</w:t>
      </w:r>
    </w:p>
    <w:p w:rsidR="00180949" w:rsidRPr="00180949" w:rsidRDefault="00180949" w:rsidP="00180949">
      <w:pPr>
        <w:pStyle w:val="a3"/>
        <w:jc w:val="both"/>
        <w:rPr>
          <w:sz w:val="28"/>
          <w:szCs w:val="28"/>
        </w:rPr>
      </w:pPr>
      <w:r w:rsidRPr="00180949">
        <w:tab/>
      </w:r>
      <w:r w:rsidRPr="00180949">
        <w:rPr>
          <w:sz w:val="28"/>
          <w:szCs w:val="28"/>
        </w:rPr>
        <w:t xml:space="preserve">Ограждение площадки следует выполнять из легкой металлической сетки высотой не менее </w:t>
      </w:r>
      <w:r w:rsidRPr="00180949">
        <w:rPr>
          <w:i/>
          <w:iCs/>
          <w:sz w:val="28"/>
          <w:szCs w:val="28"/>
        </w:rPr>
        <w:t>1,5 м</w:t>
      </w:r>
      <w:r w:rsidRPr="00180949">
        <w:rPr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На территории площадки должен быть установлен информационный стенд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949">
        <w:rPr>
          <w:rFonts w:ascii="Times New Roman" w:hAnsi="Times New Roman" w:cs="Times New Roman"/>
          <w:sz w:val="28"/>
          <w:szCs w:val="28"/>
          <w:lang w:eastAsia="ru-RU"/>
        </w:rPr>
        <w:t>с правилами пользования площадкой.</w:t>
      </w:r>
    </w:p>
    <w:p w:rsidR="00180949" w:rsidRPr="00180949" w:rsidRDefault="00180949" w:rsidP="00180949">
      <w:pPr>
        <w:pStyle w:val="a3"/>
        <w:jc w:val="both"/>
        <w:rPr>
          <w:sz w:val="28"/>
          <w:szCs w:val="28"/>
        </w:rPr>
      </w:pPr>
      <w:r w:rsidRPr="00180949">
        <w:tab/>
      </w:r>
      <w:r w:rsidRPr="00180949">
        <w:rPr>
          <w:sz w:val="28"/>
          <w:szCs w:val="28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180949" w:rsidRPr="00180949" w:rsidRDefault="00180949" w:rsidP="00180949">
      <w:pPr>
        <w:pStyle w:val="a3"/>
        <w:jc w:val="both"/>
        <w:rPr>
          <w:sz w:val="28"/>
          <w:szCs w:val="28"/>
        </w:rPr>
      </w:pPr>
      <w:r w:rsidRPr="00180949">
        <w:tab/>
      </w:r>
      <w:r w:rsidRPr="00180949">
        <w:rPr>
          <w:sz w:val="28"/>
          <w:szCs w:val="28"/>
        </w:rPr>
        <w:t xml:space="preserve">Места для размещения площадок, на которых разрешен выгул </w:t>
      </w:r>
      <w:r>
        <w:rPr>
          <w:sz w:val="28"/>
          <w:szCs w:val="28"/>
        </w:rPr>
        <w:t>ж</w:t>
      </w:r>
      <w:r w:rsidRPr="00180949">
        <w:rPr>
          <w:sz w:val="28"/>
          <w:szCs w:val="28"/>
        </w:rPr>
        <w:t>ивотных, определяются решением уполномоченного органа.</w:t>
      </w:r>
    </w:p>
    <w:p w:rsidR="00180949" w:rsidRPr="00180949" w:rsidRDefault="00180949" w:rsidP="00180949">
      <w:pPr>
        <w:pStyle w:val="a3"/>
        <w:jc w:val="both"/>
        <w:rPr>
          <w:sz w:val="28"/>
          <w:szCs w:val="28"/>
        </w:rPr>
      </w:pPr>
      <w:r w:rsidRPr="00180949">
        <w:rPr>
          <w:sz w:val="28"/>
          <w:szCs w:val="28"/>
        </w:rPr>
        <w:tab/>
        <w:t xml:space="preserve"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80949" w:rsidRPr="00180949" w:rsidRDefault="00180949" w:rsidP="00180949">
      <w:pPr>
        <w:pStyle w:val="a3"/>
        <w:jc w:val="both"/>
        <w:rPr>
          <w:sz w:val="28"/>
          <w:szCs w:val="28"/>
        </w:rPr>
      </w:pPr>
      <w:r w:rsidRPr="00180949">
        <w:tab/>
      </w:r>
      <w:r w:rsidRPr="00180949">
        <w:rPr>
          <w:sz w:val="28"/>
          <w:szCs w:val="28"/>
        </w:rPr>
        <w:t>В перечень видов работ по содержанию площадок для выгула животных допускается включать: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 xml:space="preserve">- содержание покрытия в летний и зимний периоды, в том </w:t>
      </w:r>
      <w:proofErr w:type="gramStart"/>
      <w:r w:rsidRPr="001809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80949">
        <w:rPr>
          <w:rFonts w:ascii="Times New Roman" w:hAnsi="Times New Roman" w:cs="Times New Roman"/>
          <w:sz w:val="28"/>
          <w:szCs w:val="28"/>
        </w:rPr>
        <w:t>: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18094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80949">
        <w:rPr>
          <w:rFonts w:ascii="Times New Roman" w:hAnsi="Times New Roman" w:cs="Times New Roman"/>
          <w:sz w:val="28"/>
          <w:szCs w:val="28"/>
        </w:rPr>
        <w:t xml:space="preserve"> </w:t>
      </w:r>
      <w:r w:rsidRPr="00180949">
        <w:rPr>
          <w:rFonts w:ascii="Times New Roman" w:hAnsi="Times New Roman" w:cs="Times New Roman"/>
          <w:sz w:val="28"/>
          <w:szCs w:val="28"/>
        </w:rPr>
        <w:lastRenderedPageBreak/>
        <w:t>средствами, безопасными для животных (например, песок и мелкая гравийная крошка);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180949" w:rsidRPr="00180949" w:rsidRDefault="00180949" w:rsidP="00180949">
      <w:pPr>
        <w:pStyle w:val="a4"/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- содержание элементов благоустройства площадки для выгула животных,</w:t>
      </w:r>
      <w:r w:rsidRPr="00180949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наполнение ящика для одноразовых пакетов;</w:t>
      </w:r>
    </w:p>
    <w:p w:rsidR="00180949" w:rsidRPr="00180949" w:rsidRDefault="00180949" w:rsidP="00180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очистку урн;</w:t>
      </w:r>
    </w:p>
    <w:p w:rsidR="00180949" w:rsidRPr="00180949" w:rsidRDefault="00180949" w:rsidP="0018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949">
        <w:rPr>
          <w:rFonts w:ascii="Times New Roman" w:hAnsi="Times New Roman" w:cs="Times New Roman"/>
          <w:sz w:val="28"/>
          <w:szCs w:val="28"/>
          <w:lang w:eastAsia="ru-RU"/>
        </w:rPr>
        <w:t>текущий ремонт</w:t>
      </w:r>
      <w:proofErr w:type="gramStart"/>
      <w:r w:rsidRPr="00180949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80949" w:rsidRPr="00180949" w:rsidRDefault="00180949" w:rsidP="00180949">
      <w:pPr>
        <w:pStyle w:val="a3"/>
        <w:ind w:firstLine="709"/>
        <w:jc w:val="both"/>
        <w:rPr>
          <w:sz w:val="28"/>
          <w:szCs w:val="28"/>
        </w:rPr>
      </w:pPr>
    </w:p>
    <w:p w:rsidR="00440968" w:rsidRDefault="007E4811" w:rsidP="00180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49">
        <w:rPr>
          <w:rFonts w:ascii="Times New Roman" w:hAnsi="Times New Roman" w:cs="Times New Roman"/>
          <w:sz w:val="28"/>
          <w:szCs w:val="28"/>
        </w:rPr>
        <w:t>1.</w:t>
      </w:r>
      <w:r w:rsidR="00180949">
        <w:rPr>
          <w:rFonts w:ascii="Times New Roman" w:hAnsi="Times New Roman" w:cs="Times New Roman"/>
          <w:sz w:val="28"/>
          <w:szCs w:val="28"/>
        </w:rPr>
        <w:t>2</w:t>
      </w:r>
      <w:r w:rsidRPr="00180949">
        <w:rPr>
          <w:rFonts w:ascii="Times New Roman" w:hAnsi="Times New Roman" w:cs="Times New Roman"/>
          <w:sz w:val="28"/>
          <w:szCs w:val="28"/>
        </w:rPr>
        <w:t xml:space="preserve">. </w:t>
      </w:r>
      <w:r w:rsidR="00C6389B" w:rsidRPr="00180949">
        <w:rPr>
          <w:rFonts w:ascii="Times New Roman" w:hAnsi="Times New Roman" w:cs="Times New Roman"/>
          <w:sz w:val="28"/>
          <w:szCs w:val="28"/>
        </w:rPr>
        <w:t>раздел 4 Правил дополнить пунктом 4.4 следующе</w:t>
      </w:r>
      <w:r w:rsidR="00C6389B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C6389B" w:rsidRPr="00C6389B" w:rsidRDefault="00C6389B" w:rsidP="00C638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«4.4. </w:t>
      </w:r>
      <w:proofErr w:type="gramStart"/>
      <w:r w:rsidRPr="00C6389B">
        <w:rPr>
          <w:color w:val="444444"/>
          <w:sz w:val="28"/>
          <w:szCs w:val="28"/>
        </w:rPr>
        <w:t>В полосе отвода дороги, в том числе на разделительной полосе и обочинах, не допускается размещать посторонние предметы, не являющиеся элементами обустройства и не имеющие отношения к организации движения, а также наносить на проезжую часть и элементы обустройства дороги изображения, которые могут быть приняты за дорожные знаки или иные технические средства организации дорожного движения, либо могут снижать их видимость или эффективность</w:t>
      </w:r>
      <w:proofErr w:type="gramEnd"/>
      <w:r w:rsidRPr="00C6389B">
        <w:rPr>
          <w:color w:val="444444"/>
          <w:sz w:val="28"/>
          <w:szCs w:val="28"/>
        </w:rPr>
        <w:t>, либо ослеплять участников движения или отвлекать их внимание, создавая тем самым опасность для дорожного движения.</w:t>
      </w:r>
    </w:p>
    <w:p w:rsidR="00C6389B" w:rsidRPr="00C6389B" w:rsidRDefault="00C6389B" w:rsidP="00C638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C6389B">
        <w:rPr>
          <w:color w:val="444444"/>
          <w:sz w:val="28"/>
          <w:szCs w:val="28"/>
        </w:rPr>
        <w:t>Не допускается размещать на знаках, на их оборотной стороне, светофорах и опорах, на которых они расположены, на путепроводах и надземных пешеходных переходах наружную рекламу, средства наружной рекламы и другие приспособления (устройства), не имеющие отношения к организации движения и не относящиеся к специальным техническим средствам, которые работают в автоматическом режиме и имеют функции фото- и киносъемки, видеозаписи, для обеспечения контроля за</w:t>
      </w:r>
      <w:proofErr w:type="gramEnd"/>
      <w:r w:rsidRPr="00C6389B">
        <w:rPr>
          <w:color w:val="444444"/>
          <w:sz w:val="28"/>
          <w:szCs w:val="28"/>
        </w:rPr>
        <w:t xml:space="preserve"> дорожным движением</w:t>
      </w:r>
      <w:proofErr w:type="gramStart"/>
      <w:r w:rsidRPr="00C6389B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»</w:t>
      </w:r>
      <w:proofErr w:type="gramEnd"/>
    </w:p>
    <w:p w:rsidR="00C6389B" w:rsidRPr="00C6389B" w:rsidRDefault="00C6389B" w:rsidP="00C63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2.Настоящее решение </w:t>
      </w:r>
      <w:r w:rsidRPr="00C6389B">
        <w:rPr>
          <w:rFonts w:ascii="Times New Roman" w:eastAsia="Calibri" w:hAnsi="Times New Roman" w:cs="Times New Roman"/>
          <w:sz w:val="28"/>
          <w:szCs w:val="28"/>
        </w:rPr>
        <w:t>подлежит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9B">
        <w:rPr>
          <w:rFonts w:ascii="Times New Roman" w:eastAsia="Calibri" w:hAnsi="Times New Roman" w:cs="Times New Roman"/>
          <w:sz w:val="28"/>
          <w:szCs w:val="28"/>
        </w:rPr>
        <w:tab/>
        <w:t>3.Настоящее решение вступает в силу после его официального опубликования (обнародования).</w:t>
      </w: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9B">
        <w:rPr>
          <w:rFonts w:ascii="Times New Roman" w:eastAsia="Calibri" w:hAnsi="Times New Roman" w:cs="Times New Roman"/>
          <w:sz w:val="28"/>
          <w:szCs w:val="28"/>
        </w:rPr>
        <w:t>Глава Марийского сельского поселения,</w:t>
      </w:r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89B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C6389B">
        <w:rPr>
          <w:rFonts w:ascii="Times New Roman" w:eastAsia="Calibri" w:hAnsi="Times New Roman" w:cs="Times New Roman"/>
          <w:sz w:val="28"/>
          <w:szCs w:val="28"/>
        </w:rPr>
        <w:t>И.З.Халитов</w:t>
      </w:r>
      <w:proofErr w:type="spellEnd"/>
    </w:p>
    <w:p w:rsidR="00C6389B" w:rsidRPr="00C6389B" w:rsidRDefault="00C6389B" w:rsidP="00C63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9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6389B" w:rsidRPr="00C6389B" w:rsidRDefault="00C6389B" w:rsidP="00C6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89B" w:rsidRPr="00C6389B" w:rsidSect="008C12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6CF"/>
    <w:rsid w:val="0016796A"/>
    <w:rsid w:val="00175C8D"/>
    <w:rsid w:val="00180949"/>
    <w:rsid w:val="003246CF"/>
    <w:rsid w:val="00440968"/>
    <w:rsid w:val="007E4811"/>
    <w:rsid w:val="008C12C0"/>
    <w:rsid w:val="00915EC7"/>
    <w:rsid w:val="00B15D05"/>
    <w:rsid w:val="00BE7D59"/>
    <w:rsid w:val="00C6389B"/>
    <w:rsid w:val="00EE71DA"/>
    <w:rsid w:val="00F64241"/>
    <w:rsid w:val="00F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9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C6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49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2022-10-13T05:40:00Z</cp:lastPrinted>
  <dcterms:created xsi:type="dcterms:W3CDTF">2022-10-12T14:06:00Z</dcterms:created>
  <dcterms:modified xsi:type="dcterms:W3CDTF">2022-10-13T05:41:00Z</dcterms:modified>
</cp:coreProperties>
</file>