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34CA2" w:rsidTr="00A34CA2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A34CA2" w:rsidRDefault="00A34CA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34CA2" w:rsidRDefault="00A3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34CA2" w:rsidRDefault="00A34C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34CA2" w:rsidRDefault="00A34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34CA2" w:rsidRDefault="00A3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A34CA2" w:rsidRDefault="00A3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34CA2" w:rsidRDefault="00A3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34CA2" w:rsidRDefault="00A34C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34CA2" w:rsidRDefault="00A34C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34CA2" w:rsidRDefault="00A3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34CA2" w:rsidTr="00A34CA2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4CA2" w:rsidRDefault="00A3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34CA2" w:rsidRDefault="00A34C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34CA2" w:rsidRDefault="00A34C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34CA2" w:rsidRDefault="00A3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34CA2" w:rsidRDefault="00A3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4CA2" w:rsidRDefault="00A3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34CA2" w:rsidRDefault="00A34C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34CA2" w:rsidRDefault="00A34C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34CA2" w:rsidRDefault="00A3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C49AC" w:rsidRDefault="000C49AC" w:rsidP="00A34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011" w:rsidRPr="00A34CA2" w:rsidRDefault="00A34CA2" w:rsidP="00A34C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4CA2" w:rsidRPr="00A34CA2" w:rsidRDefault="00A34CA2" w:rsidP="00A34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4CA2">
        <w:rPr>
          <w:rFonts w:ascii="Times New Roman" w:hAnsi="Times New Roman" w:cs="Times New Roman"/>
          <w:sz w:val="28"/>
          <w:szCs w:val="28"/>
        </w:rPr>
        <w:t xml:space="preserve"> октября 2023 г.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A34CA2" w:rsidRPr="00A34CA2" w:rsidRDefault="00A34CA2" w:rsidP="00A34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CA2" w:rsidRPr="00A34CA2" w:rsidRDefault="00A34CA2" w:rsidP="00A34C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CA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об оплате труда</w:t>
      </w:r>
    </w:p>
    <w:p w:rsidR="00A34CA2" w:rsidRPr="00A34CA2" w:rsidRDefault="00A34CA2" w:rsidP="00A34C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CA2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органов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Шиньшинской</w:t>
      </w:r>
      <w:proofErr w:type="spellEnd"/>
      <w:r w:rsidRPr="00A34CA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Моркинского муниципального района Республики Марий Эл, осуществляющих профессиональную деятельность                     по профессиям рабочих</w:t>
      </w:r>
    </w:p>
    <w:p w:rsidR="000C49AC" w:rsidRDefault="000C49AC" w:rsidP="00A34C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CA2" w:rsidRPr="00A34CA2" w:rsidRDefault="00A34CA2" w:rsidP="00A34C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A34CA2">
        <w:rPr>
          <w:rFonts w:ascii="Times New Roman" w:hAnsi="Times New Roman" w:cs="Times New Roman"/>
          <w:sz w:val="28"/>
          <w:szCs w:val="28"/>
        </w:rPr>
        <w:t xml:space="preserve"> сельская администрация Моркинского муниципального района Республики Марий Эл постановляет:</w:t>
      </w:r>
    </w:p>
    <w:p w:rsidR="00A34CA2" w:rsidRPr="00A34CA2" w:rsidRDefault="00A34CA2" w:rsidP="00A34C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4CA2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Шиньшинской</w:t>
      </w:r>
      <w:r w:rsidRPr="00A34CA2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Эл, осуществляющих профессиональную деятельность по профессиям рабочих, утвержденное постановлением </w:t>
      </w:r>
      <w:proofErr w:type="spellStart"/>
      <w:r w:rsidR="000C49AC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A34CA2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</w:t>
      </w:r>
      <w:r w:rsidR="000C49AC">
        <w:rPr>
          <w:rFonts w:ascii="Times New Roman" w:hAnsi="Times New Roman" w:cs="Times New Roman"/>
          <w:sz w:val="28"/>
          <w:szCs w:val="28"/>
        </w:rPr>
        <w:t>ниципального района  от 01.04.2011 года № 36</w:t>
      </w:r>
      <w:r w:rsidRPr="00A34CA2">
        <w:rPr>
          <w:rFonts w:ascii="Times New Roman" w:hAnsi="Times New Roman" w:cs="Times New Roman"/>
          <w:sz w:val="28"/>
          <w:szCs w:val="28"/>
        </w:rPr>
        <w:t xml:space="preserve"> «Об оплате труда отдел</w:t>
      </w:r>
      <w:r w:rsidR="000C49AC">
        <w:rPr>
          <w:rFonts w:ascii="Times New Roman" w:hAnsi="Times New Roman" w:cs="Times New Roman"/>
          <w:sz w:val="28"/>
          <w:szCs w:val="28"/>
        </w:rPr>
        <w:t xml:space="preserve">ьных  категорий работников </w:t>
      </w:r>
      <w:proofErr w:type="spellStart"/>
      <w:r w:rsidR="000C49AC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A34CA2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 Республики Марий Эл» следующие изменения:</w:t>
      </w:r>
      <w:proofErr w:type="gramEnd"/>
    </w:p>
    <w:p w:rsidR="00A34CA2" w:rsidRPr="00A34CA2" w:rsidRDefault="00A34CA2" w:rsidP="00A34C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t>а) таблицу пункта 5 изложить в следующей редакции:</w:t>
      </w:r>
    </w:p>
    <w:p w:rsidR="00A34CA2" w:rsidRPr="00A34CA2" w:rsidRDefault="00A34CA2" w:rsidP="00A34C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680"/>
        <w:gridCol w:w="1970"/>
      </w:tblGrid>
      <w:tr w:rsidR="00A34CA2" w:rsidRPr="00A34CA2" w:rsidTr="00FC67E7">
        <w:trPr>
          <w:trHeight w:val="1178"/>
        </w:trPr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«Профессионально-квалификационная группа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 xml:space="preserve">по занимаемой </w:t>
            </w:r>
            <w:r w:rsidRPr="00A3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</w:t>
            </w:r>
          </w:p>
        </w:tc>
      </w:tr>
      <w:tr w:rsidR="00A34CA2" w:rsidRPr="00A34CA2" w:rsidTr="00FC67E7"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4CA2" w:rsidRPr="00A34CA2" w:rsidTr="00FC67E7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профессии рабочих первого уровня </w:t>
            </w:r>
            <w:r w:rsidRPr="00A34C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34CA2" w:rsidRPr="00A34CA2" w:rsidTr="00FC67E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34CA2" w:rsidRPr="00A34CA2" w:rsidRDefault="00A34CA2" w:rsidP="00A3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уровень:                       </w:t>
            </w:r>
          </w:p>
          <w:p w:rsidR="00A34CA2" w:rsidRPr="00A34CA2" w:rsidRDefault="00A34CA2" w:rsidP="00A3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                             </w:t>
            </w:r>
          </w:p>
          <w:p w:rsidR="00A34CA2" w:rsidRPr="00A34CA2" w:rsidRDefault="00A34CA2" w:rsidP="00A3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  <w:p w:rsidR="00A34CA2" w:rsidRPr="00A34CA2" w:rsidRDefault="00A34CA2" w:rsidP="00A3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6085</w:t>
            </w: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6085</w:t>
            </w: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A2" w:rsidRPr="00A34CA2" w:rsidTr="00FC67E7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уровень:                       </w:t>
            </w:r>
          </w:p>
        </w:tc>
      </w:tr>
      <w:tr w:rsidR="00A34CA2" w:rsidRPr="00A34CA2" w:rsidTr="00FC67E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34CA2" w:rsidRPr="00A34CA2" w:rsidRDefault="00A34CA2" w:rsidP="00FC67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FC67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  <w:p w:rsidR="00A34CA2" w:rsidRPr="00A34CA2" w:rsidRDefault="00A34CA2" w:rsidP="00FC67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FC67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6727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A2">
              <w:rPr>
                <w:rFonts w:ascii="Times New Roman" w:hAnsi="Times New Roman" w:cs="Times New Roman"/>
                <w:sz w:val="28"/>
                <w:szCs w:val="28"/>
              </w:rPr>
              <w:t>1,75».</w:t>
            </w:r>
          </w:p>
          <w:p w:rsidR="00A34CA2" w:rsidRPr="00A34CA2" w:rsidRDefault="00A34CA2" w:rsidP="00A34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A2" w:rsidRPr="00A34CA2" w:rsidRDefault="00A34CA2" w:rsidP="00A34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CA2" w:rsidRPr="00A34CA2" w:rsidRDefault="00A34CA2" w:rsidP="00A34C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t>б) абзац шестой пункта 13 изложить в следующей редакции:</w:t>
      </w:r>
    </w:p>
    <w:p w:rsidR="00A34CA2" w:rsidRPr="00A34CA2" w:rsidRDefault="00A34CA2" w:rsidP="00A34C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t>"ежемесячная надбавка водителям автомобилей к окладу за безаварийную работу</w:t>
      </w:r>
      <w:proofErr w:type="gramStart"/>
      <w:r w:rsidRPr="00A34CA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34CA2" w:rsidRPr="00A34CA2" w:rsidRDefault="00A34CA2" w:rsidP="00A34C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t>в) пункт 20 изложить в следующей редакции:</w:t>
      </w:r>
    </w:p>
    <w:p w:rsidR="00A34CA2" w:rsidRPr="00A34CA2" w:rsidRDefault="00A34CA2" w:rsidP="00A34C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t>"20. Водителям автомобилей устанавливается ежемесячная надбавка</w:t>
      </w:r>
      <w:r w:rsidRPr="00A34CA2">
        <w:rPr>
          <w:rFonts w:ascii="Times New Roman" w:hAnsi="Times New Roman" w:cs="Times New Roman"/>
          <w:sz w:val="28"/>
          <w:szCs w:val="28"/>
        </w:rPr>
        <w:br/>
        <w:t>к окладу за безаварийную работу в размере 25 процентов.</w:t>
      </w:r>
    </w:p>
    <w:p w:rsidR="00A34CA2" w:rsidRPr="00A34CA2" w:rsidRDefault="00A34CA2" w:rsidP="00A34C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t>При совершении дорожно-транспортного происшествия, произошедшего по вине водителя автомобиля, ежемесячная надбавка за безаварийную работу при расчете заработной платы за тот месяц, в котором произошло дорожно-транспортное происшествие, не начисляется</w:t>
      </w:r>
      <w:proofErr w:type="gramStart"/>
      <w:r w:rsidRPr="00A34CA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34CA2" w:rsidRPr="00A34CA2" w:rsidRDefault="00A34CA2" w:rsidP="00A34C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t>г) в пункте 27:</w:t>
      </w:r>
    </w:p>
    <w:p w:rsidR="00A34CA2" w:rsidRPr="00A34CA2" w:rsidRDefault="00A34CA2" w:rsidP="00A34C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t>в абзаце четвертом слова «до двух окладов в год» заменить словами</w:t>
      </w:r>
      <w:r w:rsidRPr="00A34CA2">
        <w:rPr>
          <w:rFonts w:ascii="Times New Roman" w:hAnsi="Times New Roman" w:cs="Times New Roman"/>
          <w:sz w:val="28"/>
          <w:szCs w:val="28"/>
        </w:rPr>
        <w:br/>
        <w:t>«до трех окладов в год»;</w:t>
      </w:r>
    </w:p>
    <w:p w:rsidR="00A34CA2" w:rsidRPr="00A34CA2" w:rsidRDefault="00A34CA2" w:rsidP="00A34C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lastRenderedPageBreak/>
        <w:t>в абзаце седьмом слова «до двенадцати окладов в год» заменить словами «до восемнадцати окладов в год».</w:t>
      </w:r>
    </w:p>
    <w:p w:rsidR="00A34CA2" w:rsidRPr="00A34CA2" w:rsidRDefault="00A34CA2" w:rsidP="00A34C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</w:t>
      </w:r>
      <w:proofErr w:type="spellStart"/>
      <w:r w:rsidRPr="00A34CA2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A34CA2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A34CA2" w:rsidRPr="00A34CA2" w:rsidRDefault="00A34CA2" w:rsidP="00A34C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октября 2023 г.</w:t>
      </w:r>
      <w:r w:rsidRPr="00A34CA2">
        <w:rPr>
          <w:rFonts w:ascii="Times New Roman" w:hAnsi="Times New Roman" w:cs="Times New Roman"/>
          <w:sz w:val="28"/>
          <w:szCs w:val="28"/>
        </w:rPr>
        <w:br/>
        <w:t>за исключением подпункта г) пункта 1, который вступает в силу</w:t>
      </w:r>
      <w:r w:rsidRPr="00A34CA2">
        <w:rPr>
          <w:rFonts w:ascii="Times New Roman" w:hAnsi="Times New Roman" w:cs="Times New Roman"/>
          <w:sz w:val="28"/>
          <w:szCs w:val="28"/>
        </w:rPr>
        <w:br/>
        <w:t>с 1 января 2024 г.</w:t>
      </w:r>
    </w:p>
    <w:p w:rsidR="00A34CA2" w:rsidRPr="00A34CA2" w:rsidRDefault="00A34CA2" w:rsidP="00A34CA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CA2" w:rsidRPr="00A34CA2" w:rsidRDefault="00A34CA2" w:rsidP="00A34CA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CA2" w:rsidRPr="00A34CA2" w:rsidRDefault="00A34CA2" w:rsidP="00A34CA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CA2" w:rsidRPr="00A34CA2" w:rsidRDefault="00A34CA2" w:rsidP="00A34CA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CA2" w:rsidRPr="00A34CA2" w:rsidRDefault="00A34CA2" w:rsidP="00A34CA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C49AC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A34CA2" w:rsidRPr="00A34CA2" w:rsidRDefault="00A34CA2" w:rsidP="00A34CA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4CA2">
        <w:rPr>
          <w:rFonts w:ascii="Times New Roman" w:hAnsi="Times New Roman" w:cs="Times New Roman"/>
          <w:sz w:val="28"/>
          <w:szCs w:val="28"/>
        </w:rPr>
        <w:t xml:space="preserve">сельской администрации         </w:t>
      </w:r>
      <w:r w:rsidR="000C49AC">
        <w:rPr>
          <w:rFonts w:ascii="Times New Roman" w:hAnsi="Times New Roman" w:cs="Times New Roman"/>
          <w:sz w:val="28"/>
          <w:szCs w:val="28"/>
        </w:rPr>
        <w:t xml:space="preserve">                            П.С.Иванова</w:t>
      </w:r>
    </w:p>
    <w:p w:rsidR="00A34CA2" w:rsidRPr="00A34CA2" w:rsidRDefault="00A34CA2" w:rsidP="00A34CA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A34CA2" w:rsidRPr="00A34CA2" w:rsidRDefault="00A34CA2" w:rsidP="00A34CA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A34CA2" w:rsidRPr="00A34CA2" w:rsidRDefault="00A34CA2" w:rsidP="00A34CA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A34CA2" w:rsidRPr="00A34CA2" w:rsidRDefault="00A34CA2" w:rsidP="00A34C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4CA2" w:rsidRPr="00A34CA2" w:rsidRDefault="00A34CA2" w:rsidP="00A34C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4CA2" w:rsidRPr="00A34CA2" w:rsidSect="00C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CA2"/>
    <w:rsid w:val="000C49AC"/>
    <w:rsid w:val="00743F48"/>
    <w:rsid w:val="007E5AEE"/>
    <w:rsid w:val="00A34CA2"/>
    <w:rsid w:val="00C5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A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4C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4CA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A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34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2520</Characters>
  <Application>Microsoft Office Word</Application>
  <DocSecurity>0</DocSecurity>
  <Lines>21</Lines>
  <Paragraphs>5</Paragraphs>
  <ScaleCrop>false</ScaleCrop>
  <Company>Krokoz™ Inc.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2023-10-11T05:08:00Z</cp:lastPrinted>
  <dcterms:created xsi:type="dcterms:W3CDTF">2023-10-10T12:35:00Z</dcterms:created>
  <dcterms:modified xsi:type="dcterms:W3CDTF">2023-10-11T05:08:00Z</dcterms:modified>
</cp:coreProperties>
</file>