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1B3E19"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ведения садоводства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1B3E19">
        <w:t>,</w:t>
      </w:r>
      <w:r w:rsidR="001B3E19">
        <w:rPr>
          <w:bCs/>
          <w:spacing w:val="-6"/>
        </w:rPr>
        <w:t xml:space="preserve"> </w:t>
      </w:r>
      <w:r w:rsidR="001B3E19" w:rsidRPr="001B3E19">
        <w:rPr>
          <w:b/>
          <w:bCs/>
          <w:spacing w:val="-6"/>
        </w:rPr>
        <w:t xml:space="preserve">номер процедуры: </w:t>
      </w:r>
      <w:r w:rsidR="001B3E19">
        <w:rPr>
          <w:b/>
          <w:bCs/>
          <w:spacing w:val="-6"/>
          <w:lang w:val="en-US"/>
        </w:rPr>
        <w:t>SBR</w:t>
      </w:r>
      <w:r w:rsidR="001B3E19" w:rsidRPr="001B3E19">
        <w:rPr>
          <w:b/>
          <w:bCs/>
          <w:spacing w:val="-6"/>
        </w:rPr>
        <w:t>012-2305150092</w:t>
      </w:r>
      <w:r w:rsidR="001B3E19">
        <w:rPr>
          <w:bCs/>
          <w:spacing w:val="-6"/>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493EA7">
          <w:rPr>
            <w:rFonts w:ascii="Times New Roman" w:hAnsi="Times New Roman" w:cs="Times New Roman"/>
            <w:spacing w:val="-4"/>
            <w:sz w:val="24"/>
            <w:szCs w:val="24"/>
          </w:rPr>
          <w:t>пункта 7 статьи 39.18</w:t>
        </w:r>
      </w:hyperlink>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r w:rsidR="00BC4D2F">
        <w:rPr>
          <w:rFonts w:ascii="Times New Roman" w:hAnsi="Times New Roman" w:cs="Times New Roman"/>
          <w:sz w:val="24"/>
          <w:szCs w:val="24"/>
        </w:rPr>
        <w:t>Советской городской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9311DD">
        <w:rPr>
          <w:rFonts w:ascii="Times New Roman" w:hAnsi="Times New Roman" w:cs="Times New Roman"/>
          <w:sz w:val="24"/>
          <w:szCs w:val="24"/>
        </w:rPr>
        <w:t>15</w:t>
      </w:r>
      <w:r w:rsidR="00823B29">
        <w:rPr>
          <w:rFonts w:ascii="Times New Roman" w:hAnsi="Times New Roman" w:cs="Times New Roman"/>
          <w:sz w:val="24"/>
          <w:szCs w:val="24"/>
        </w:rPr>
        <w:t xml:space="preserve"> </w:t>
      </w:r>
      <w:r w:rsidR="009311DD">
        <w:rPr>
          <w:rFonts w:ascii="Times New Roman" w:hAnsi="Times New Roman" w:cs="Times New Roman"/>
          <w:sz w:val="24"/>
          <w:szCs w:val="24"/>
        </w:rPr>
        <w:t>м</w:t>
      </w:r>
      <w:r w:rsidR="00823B29">
        <w:rPr>
          <w:rFonts w:ascii="Times New Roman" w:hAnsi="Times New Roman" w:cs="Times New Roman"/>
          <w:sz w:val="24"/>
          <w:szCs w:val="24"/>
        </w:rPr>
        <w:t xml:space="preserve">ая 2023 года № </w:t>
      </w:r>
      <w:r w:rsidR="00BC4D2F">
        <w:rPr>
          <w:rFonts w:ascii="Times New Roman" w:hAnsi="Times New Roman" w:cs="Times New Roman"/>
          <w:sz w:val="24"/>
          <w:szCs w:val="24"/>
        </w:rPr>
        <w:t>1</w:t>
      </w:r>
      <w:r w:rsidR="009311DD">
        <w:rPr>
          <w:rFonts w:ascii="Times New Roman" w:hAnsi="Times New Roman" w:cs="Times New Roman"/>
          <w:sz w:val="24"/>
          <w:szCs w:val="24"/>
        </w:rPr>
        <w:t>4</w:t>
      </w:r>
      <w:r w:rsidR="00BC4D2F">
        <w:rPr>
          <w:rFonts w:ascii="Times New Roman" w:hAnsi="Times New Roman" w:cs="Times New Roman"/>
          <w:sz w:val="24"/>
          <w:szCs w:val="24"/>
        </w:rPr>
        <w:t>1</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823B29">
        <w:rPr>
          <w:spacing w:val="-6"/>
        </w:rPr>
        <w:t>1</w:t>
      </w:r>
      <w:r w:rsidR="004262C4">
        <w:rPr>
          <w:spacing w:val="-6"/>
        </w:rPr>
        <w:t>6</w:t>
      </w:r>
      <w:r>
        <w:rPr>
          <w:spacing w:val="-6"/>
        </w:rPr>
        <w:t xml:space="preserve"> </w:t>
      </w:r>
      <w:r w:rsidR="004262C4">
        <w:rPr>
          <w:spacing w:val="-6"/>
        </w:rPr>
        <w:t>м</w:t>
      </w:r>
      <w:r w:rsidR="00823B29">
        <w:rPr>
          <w:spacing w:val="-6"/>
        </w:rPr>
        <w:t>ая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3"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823B29">
        <w:rPr>
          <w:bCs/>
          <w:spacing w:val="-6"/>
        </w:rPr>
        <w:t>1</w:t>
      </w:r>
      <w:r w:rsidR="004262C4">
        <w:rPr>
          <w:bCs/>
          <w:spacing w:val="-6"/>
        </w:rPr>
        <w:t>3</w:t>
      </w:r>
      <w:r>
        <w:rPr>
          <w:bCs/>
          <w:spacing w:val="-6"/>
        </w:rPr>
        <w:t xml:space="preserve"> </w:t>
      </w:r>
      <w:r w:rsidR="004262C4">
        <w:rPr>
          <w:bCs/>
          <w:spacing w:val="-6"/>
        </w:rPr>
        <w:t>июн</w:t>
      </w:r>
      <w:r w:rsidR="00823B29">
        <w:rPr>
          <w:bCs/>
          <w:spacing w:val="-6"/>
        </w:rPr>
        <w:t>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4262C4">
        <w:rPr>
          <w:spacing w:val="-6"/>
        </w:rPr>
        <w:t>15</w:t>
      </w:r>
      <w:r>
        <w:rPr>
          <w:spacing w:val="-6"/>
        </w:rPr>
        <w:t xml:space="preserve"> </w:t>
      </w:r>
      <w:r w:rsidR="004262C4">
        <w:rPr>
          <w:spacing w:val="-6"/>
        </w:rPr>
        <w:t>июн</w:t>
      </w:r>
      <w:r>
        <w:rPr>
          <w:spacing w:val="-6"/>
        </w:rPr>
        <w:t>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823B29">
        <w:rPr>
          <w:bCs/>
          <w:spacing w:val="-6"/>
        </w:rPr>
        <w:t>1</w:t>
      </w:r>
      <w:r w:rsidR="004262C4">
        <w:rPr>
          <w:bCs/>
          <w:spacing w:val="-6"/>
        </w:rPr>
        <w:t>6</w:t>
      </w:r>
      <w:r>
        <w:rPr>
          <w:bCs/>
          <w:spacing w:val="-6"/>
        </w:rPr>
        <w:t xml:space="preserve"> </w:t>
      </w:r>
      <w:r w:rsidR="004262C4">
        <w:rPr>
          <w:bCs/>
          <w:spacing w:val="-6"/>
        </w:rPr>
        <w:t>июня</w:t>
      </w:r>
      <w:r>
        <w:rPr>
          <w:bCs/>
          <w:spacing w:val="-6"/>
        </w:rPr>
        <w:t xml:space="preserve"> 2023 г. в </w:t>
      </w:r>
      <w:r w:rsidR="00CD40CA">
        <w:rPr>
          <w:bCs/>
          <w:spacing w:val="-6"/>
        </w:rPr>
        <w:t>1</w:t>
      </w:r>
      <w:r>
        <w:rPr>
          <w:bCs/>
          <w:spacing w:val="-6"/>
        </w:rPr>
        <w:t>0</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823B29">
        <w:rPr>
          <w:spacing w:val="-6"/>
        </w:rPr>
        <w:t>1</w:t>
      </w:r>
      <w:r w:rsidR="00377688">
        <w:rPr>
          <w:spacing w:val="-6"/>
        </w:rPr>
        <w:t>6</w:t>
      </w:r>
      <w:r>
        <w:rPr>
          <w:spacing w:val="-6"/>
        </w:rPr>
        <w:t xml:space="preserve"> </w:t>
      </w:r>
      <w:r w:rsidR="00377688">
        <w:rPr>
          <w:spacing w:val="-6"/>
        </w:rPr>
        <w:t>июня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r>
        <w:rPr>
          <w:spacing w:val="-6"/>
        </w:rPr>
        <w:t>каб</w:t>
      </w:r>
      <w:r w:rsidR="00823B29">
        <w:rPr>
          <w:spacing w:val="-6"/>
        </w:rPr>
        <w:t>.</w:t>
      </w:r>
      <w:r w:rsidR="00CD40CA">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 xml:space="preserve">Форма торгов: аукцион является открытым по составу участников и по форме подачи предложений о </w:t>
      </w:r>
      <w:r w:rsidR="008D69AF">
        <w:rPr>
          <w:sz w:val="24"/>
          <w:szCs w:val="24"/>
        </w:rPr>
        <w:t>цене</w:t>
      </w:r>
      <w:r>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F2332D" w:rsidRDefault="00F2332D" w:rsidP="006247F0">
      <w:pPr>
        <w:autoSpaceDE w:val="0"/>
        <w:autoSpaceDN w:val="0"/>
        <w:adjustRightInd w:val="0"/>
        <w:ind w:firstLine="709"/>
        <w:jc w:val="center"/>
        <w:rPr>
          <w:b/>
        </w:rPr>
      </w:pP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EE4E74" w:rsidRDefault="009A1F12" w:rsidP="00EE4E7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w:t>
      </w:r>
      <w:r w:rsidR="00BC4D2F">
        <w:t>120</w:t>
      </w:r>
      <w:r w:rsidR="00823B29">
        <w:t>0</w:t>
      </w:r>
      <w:r w:rsidR="00BC4D2F">
        <w:t>1</w:t>
      </w:r>
      <w:r w:rsidR="00CD40CA">
        <w:t>08</w:t>
      </w:r>
      <w:r>
        <w:t>:</w:t>
      </w:r>
      <w:r w:rsidR="00CD40CA">
        <w:t>488</w:t>
      </w:r>
      <w:r w:rsidRPr="000A66A2">
        <w:t xml:space="preserve">, категория земель – земли населенных пунктов, разрешенное использование – </w:t>
      </w:r>
      <w:r w:rsidR="00CD40CA">
        <w:t>для индивидуального жилищного строительства</w:t>
      </w:r>
      <w:r>
        <w:t xml:space="preserve">, площадью </w:t>
      </w:r>
      <w:r w:rsidR="00CD40CA">
        <w:t>696</w:t>
      </w:r>
      <w:r w:rsidRPr="000A66A2">
        <w:t xml:space="preserve"> кв. м., расположенный по адресу: Республика </w:t>
      </w:r>
      <w:r w:rsidRPr="00EE4E74">
        <w:t xml:space="preserve">Марий Эл, </w:t>
      </w:r>
      <w:r w:rsidR="00823B29" w:rsidRPr="00EE4E74">
        <w:t>Совет</w:t>
      </w:r>
      <w:r w:rsidRPr="00EE4E74">
        <w:t xml:space="preserve">ский район, </w:t>
      </w:r>
      <w:proofErr w:type="spellStart"/>
      <w:r w:rsidR="007979A3" w:rsidRPr="00EE4E74">
        <w:t>п</w:t>
      </w:r>
      <w:r w:rsidR="00BC4D2F" w:rsidRPr="00EE4E74">
        <w:t>гт</w:t>
      </w:r>
      <w:proofErr w:type="spellEnd"/>
      <w:r w:rsidR="007979A3" w:rsidRPr="00EE4E74">
        <w:t xml:space="preserve">. </w:t>
      </w:r>
      <w:r w:rsidR="00BC4D2F" w:rsidRPr="00EE4E74">
        <w:t>Советский</w:t>
      </w:r>
      <w:r w:rsidR="007979A3" w:rsidRPr="00EE4E74">
        <w:t xml:space="preserve">. ул. </w:t>
      </w:r>
      <w:r w:rsidR="00CD40CA" w:rsidRPr="00EE4E74">
        <w:t>Жукова</w:t>
      </w:r>
      <w:r w:rsidR="00FD35BC" w:rsidRPr="00EE4E74">
        <w:t xml:space="preserve"> </w:t>
      </w:r>
      <w:r w:rsidRPr="00EE4E74">
        <w:t>(далее – земельный участок).</w:t>
      </w:r>
    </w:p>
    <w:p w:rsidR="00FD21B7" w:rsidRPr="00EE4E74" w:rsidRDefault="00FD21B7" w:rsidP="00EE4E74">
      <w:pPr>
        <w:pStyle w:val="10"/>
        <w:ind w:firstLine="567"/>
        <w:jc w:val="both"/>
        <w:rPr>
          <w:b w:val="0"/>
          <w:bCs/>
        </w:rPr>
      </w:pPr>
      <w:r w:rsidRPr="00EE4E74">
        <w:rPr>
          <w:b w:val="0"/>
        </w:rPr>
        <w:t xml:space="preserve">Ограничения (обременения) права: </w:t>
      </w:r>
      <w:r w:rsidR="00EE4E74" w:rsidRPr="00EE4E74">
        <w:rPr>
          <w:b w:val="0"/>
          <w:bCs/>
          <w:szCs w:val="24"/>
        </w:rPr>
        <w:t>охранная зона канализации, проходящая вдоль западной границы земельного участка</w:t>
      </w:r>
      <w:r w:rsidR="00EE4E74" w:rsidRPr="00EE4E74">
        <w:rPr>
          <w:b w:val="0"/>
          <w:bCs/>
        </w:rPr>
        <w:t>.</w:t>
      </w:r>
      <w:r w:rsidRPr="00EE4E74">
        <w:rPr>
          <w:b w:val="0"/>
        </w:rPr>
        <w:t>.</w:t>
      </w:r>
    </w:p>
    <w:p w:rsidR="00F56AF4" w:rsidRPr="00A62858" w:rsidRDefault="00F56AF4" w:rsidP="00EE4E74">
      <w:pPr>
        <w:ind w:firstLine="709"/>
        <w:jc w:val="both"/>
      </w:pPr>
      <w:r w:rsidRPr="00EE4E74">
        <w:rPr>
          <w:spacing w:val="-6"/>
        </w:rPr>
        <w:t>Начальная цена</w:t>
      </w:r>
      <w:r w:rsidRPr="00EE4E74">
        <w:t xml:space="preserve"> </w:t>
      </w:r>
      <w:r w:rsidRPr="000A66A2">
        <w:t xml:space="preserve">земельного участка – </w:t>
      </w:r>
      <w:r w:rsidR="00EE4E74">
        <w:t>273</w:t>
      </w:r>
      <w:r>
        <w:t xml:space="preserve"> 000</w:t>
      </w:r>
      <w:r w:rsidRPr="000A66A2">
        <w:t xml:space="preserve"> (</w:t>
      </w:r>
      <w:r w:rsidR="00EE4E74">
        <w:t>Двести семьдесят три</w:t>
      </w:r>
      <w:r>
        <w:t xml:space="preserve"> тысяч</w:t>
      </w:r>
      <w:r w:rsidR="00EE4E74">
        <w:t>и</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sidR="0082381E">
        <w:rPr>
          <w:spacing w:val="-6"/>
        </w:rPr>
        <w:t>земельного участка</w:t>
      </w:r>
      <w:r w:rsidRPr="00A62858">
        <w:rPr>
          <w:spacing w:val="-6"/>
        </w:rPr>
        <w:t xml:space="preserve">, составленного независимым оценщиком от </w:t>
      </w:r>
      <w:r w:rsidR="00EE4E74">
        <w:rPr>
          <w:spacing w:val="-6"/>
        </w:rPr>
        <w:t>15</w:t>
      </w:r>
      <w:r w:rsidRPr="00A62858">
        <w:rPr>
          <w:spacing w:val="-6"/>
        </w:rPr>
        <w:t xml:space="preserve"> </w:t>
      </w:r>
      <w:r w:rsidR="007979A3">
        <w:rPr>
          <w:spacing w:val="-6"/>
        </w:rPr>
        <w:t>марта</w:t>
      </w:r>
      <w:r w:rsidRPr="00A62858">
        <w:rPr>
          <w:spacing w:val="-6"/>
        </w:rPr>
        <w:t xml:space="preserve"> 202</w:t>
      </w:r>
      <w:r>
        <w:rPr>
          <w:spacing w:val="-6"/>
        </w:rPr>
        <w:t>3</w:t>
      </w:r>
      <w:r w:rsidRPr="00A62858">
        <w:rPr>
          <w:spacing w:val="-6"/>
        </w:rPr>
        <w:t xml:space="preserve"> г. № </w:t>
      </w:r>
      <w:r w:rsidR="00EE4E74">
        <w:rPr>
          <w:spacing w:val="-6"/>
        </w:rPr>
        <w:t>30</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EE4E74">
        <w:rPr>
          <w:spacing w:val="-4"/>
        </w:rPr>
        <w:t>8</w:t>
      </w:r>
      <w:r w:rsidR="00BC4D2F">
        <w:rPr>
          <w:spacing w:val="-4"/>
        </w:rPr>
        <w:t xml:space="preserve"> </w:t>
      </w:r>
      <w:r w:rsidR="00EE4E74">
        <w:rPr>
          <w:spacing w:val="-4"/>
        </w:rPr>
        <w:t>19</w:t>
      </w:r>
      <w:r w:rsidR="00BC4D2F">
        <w:rPr>
          <w:spacing w:val="-4"/>
        </w:rPr>
        <w:t>0</w:t>
      </w:r>
      <w:r w:rsidRPr="000A66A2">
        <w:t xml:space="preserve"> (</w:t>
      </w:r>
      <w:r w:rsidR="00EE4E74">
        <w:t>Восемь</w:t>
      </w:r>
      <w:r w:rsidR="00BC4D2F">
        <w:t xml:space="preserve"> тысяч </w:t>
      </w:r>
      <w:r w:rsidR="00EE4E74">
        <w:t>сто девяносто</w:t>
      </w:r>
      <w:r w:rsidRPr="000A66A2">
        <w:t xml:space="preserve">) </w:t>
      </w:r>
      <w:r w:rsidRPr="000A66A2">
        <w:rPr>
          <w:spacing w:val="-4"/>
        </w:rPr>
        <w:t>руб. 00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EE4E74">
        <w:rPr>
          <w:spacing w:val="-4"/>
        </w:rPr>
        <w:t>54</w:t>
      </w:r>
      <w:r w:rsidR="00BC4D2F">
        <w:rPr>
          <w:spacing w:val="-4"/>
        </w:rPr>
        <w:t xml:space="preserve"> </w:t>
      </w:r>
      <w:r w:rsidR="00EE4E74">
        <w:rPr>
          <w:spacing w:val="-4"/>
        </w:rPr>
        <w:t>6</w:t>
      </w:r>
      <w:r>
        <w:t>00</w:t>
      </w:r>
      <w:r w:rsidRPr="000A66A2">
        <w:t xml:space="preserve"> (</w:t>
      </w:r>
      <w:r w:rsidR="00EE4E74">
        <w:t>Пятьдесят четыре т</w:t>
      </w:r>
      <w:r>
        <w:t>ысяч</w:t>
      </w:r>
      <w:r w:rsidR="00FD35BC">
        <w:t>и</w:t>
      </w:r>
      <w:r w:rsidR="00BC4D2F">
        <w:t xml:space="preserve"> </w:t>
      </w:r>
      <w:r w:rsidR="00EE4E74">
        <w:t>шестьсот</w:t>
      </w:r>
      <w:r w:rsidRPr="000A66A2">
        <w:t xml:space="preserve">) </w:t>
      </w:r>
      <w:r w:rsidRPr="000A66A2">
        <w:rPr>
          <w:spacing w:val="-4"/>
        </w:rPr>
        <w:t>руб. 00 коп.</w:t>
      </w:r>
    </w:p>
    <w:p w:rsidR="00EE4E74" w:rsidRDefault="00EE4E74" w:rsidP="00EE4E74">
      <w:pPr>
        <w:autoSpaceDE w:val="0"/>
        <w:autoSpaceDN w:val="0"/>
        <w:adjustRightInd w:val="0"/>
        <w:ind w:firstLine="709"/>
        <w:jc w:val="center"/>
        <w:rPr>
          <w:b/>
        </w:rPr>
      </w:pPr>
    </w:p>
    <w:p w:rsidR="00EE4E74" w:rsidRDefault="00EE4E74" w:rsidP="00EE4E74">
      <w:pPr>
        <w:autoSpaceDE w:val="0"/>
        <w:autoSpaceDN w:val="0"/>
        <w:adjustRightInd w:val="0"/>
        <w:ind w:firstLine="709"/>
        <w:jc w:val="center"/>
        <w:rPr>
          <w:b/>
        </w:rPr>
      </w:pPr>
      <w:r w:rsidRPr="00792873">
        <w:rPr>
          <w:b/>
        </w:rPr>
        <w:t xml:space="preserve">ЛОТ № </w:t>
      </w:r>
      <w:r>
        <w:rPr>
          <w:b/>
        </w:rPr>
        <w:t>2</w:t>
      </w:r>
    </w:p>
    <w:p w:rsidR="00EE4E74" w:rsidRPr="00EE4E74" w:rsidRDefault="00EE4E74" w:rsidP="00EE4E7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12:08:1320102:1043</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1500</w:t>
      </w:r>
      <w:r w:rsidRPr="000A66A2">
        <w:t xml:space="preserve"> кв. м., расположенный по адресу: </w:t>
      </w:r>
      <w:r w:rsidR="008D69AF">
        <w:t xml:space="preserve">Российская Федерация, </w:t>
      </w:r>
      <w:r w:rsidRPr="000A66A2">
        <w:t xml:space="preserve">Республика </w:t>
      </w:r>
      <w:r w:rsidRPr="00EE4E74">
        <w:t xml:space="preserve">Марий Эл, Советский район, п. </w:t>
      </w:r>
      <w:proofErr w:type="spellStart"/>
      <w:r w:rsidR="008D69AF">
        <w:t>Ургакш</w:t>
      </w:r>
      <w:proofErr w:type="spellEnd"/>
      <w:r w:rsidRPr="00EE4E74">
        <w:t xml:space="preserve">. ул. </w:t>
      </w:r>
      <w:r>
        <w:t xml:space="preserve">Ивана </w:t>
      </w:r>
      <w:proofErr w:type="spellStart"/>
      <w:r>
        <w:t>Грязина</w:t>
      </w:r>
      <w:proofErr w:type="spellEnd"/>
      <w:r w:rsidRPr="00EE4E74">
        <w:t xml:space="preserve"> (далее – земельный участок).</w:t>
      </w:r>
    </w:p>
    <w:p w:rsidR="00EE4E74" w:rsidRPr="00EE4E74" w:rsidRDefault="00EE4E74" w:rsidP="00EE4E74">
      <w:pPr>
        <w:pStyle w:val="10"/>
        <w:ind w:firstLine="567"/>
        <w:jc w:val="both"/>
        <w:rPr>
          <w:b w:val="0"/>
          <w:bCs/>
        </w:rPr>
      </w:pPr>
      <w:r w:rsidRPr="00EE4E74">
        <w:rPr>
          <w:b w:val="0"/>
        </w:rPr>
        <w:t xml:space="preserve">Ограничения (обременения) права: </w:t>
      </w:r>
      <w:r w:rsidR="0011669E">
        <w:rPr>
          <w:b w:val="0"/>
          <w:bCs/>
          <w:szCs w:val="24"/>
        </w:rPr>
        <w:t>отсутствуют.</w:t>
      </w:r>
    </w:p>
    <w:p w:rsidR="00EE4E74" w:rsidRPr="00A62858" w:rsidRDefault="00EE4E74" w:rsidP="00EE4E74">
      <w:pPr>
        <w:ind w:firstLine="709"/>
        <w:jc w:val="both"/>
      </w:pPr>
      <w:r w:rsidRPr="00EE4E74">
        <w:rPr>
          <w:spacing w:val="-6"/>
        </w:rPr>
        <w:t>Начальная цена</w:t>
      </w:r>
      <w:r w:rsidRPr="00EE4E74">
        <w:t xml:space="preserve"> </w:t>
      </w:r>
      <w:r w:rsidRPr="000A66A2">
        <w:t xml:space="preserve">земельного участка – </w:t>
      </w:r>
      <w:r>
        <w:t>3</w:t>
      </w:r>
      <w:r w:rsidR="0011669E">
        <w:t>08</w:t>
      </w:r>
      <w:r>
        <w:t xml:space="preserve"> 000</w:t>
      </w:r>
      <w:r w:rsidRPr="000A66A2">
        <w:t xml:space="preserve"> (</w:t>
      </w:r>
      <w:r w:rsidR="0011669E">
        <w:t>Триста восемь</w:t>
      </w:r>
      <w:r>
        <w:t xml:space="preserve"> тысяч) руб. 00 коп., без</w:t>
      </w:r>
      <w:r w:rsidRPr="000A66A2">
        <w:t xml:space="preserve"> НДС</w:t>
      </w:r>
      <w:r w:rsidRPr="00A62858">
        <w:t>.</w:t>
      </w:r>
    </w:p>
    <w:p w:rsidR="00EE4E74" w:rsidRPr="008D69AF" w:rsidRDefault="00EE4E74" w:rsidP="00EE4E74">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sidR="0082381E">
        <w:rPr>
          <w:spacing w:val="-6"/>
        </w:rPr>
        <w:t>земельного участка</w:t>
      </w:r>
      <w:r w:rsidRPr="00A62858">
        <w:rPr>
          <w:spacing w:val="-6"/>
        </w:rPr>
        <w:t xml:space="preserve">, составленного независимым оценщиком от </w:t>
      </w:r>
      <w:r>
        <w:rPr>
          <w:spacing w:val="-6"/>
        </w:rPr>
        <w:t>17</w:t>
      </w:r>
      <w:r w:rsidRPr="00A62858">
        <w:rPr>
          <w:spacing w:val="-6"/>
        </w:rPr>
        <w:t xml:space="preserve"> </w:t>
      </w:r>
      <w:r>
        <w:rPr>
          <w:spacing w:val="-6"/>
        </w:rPr>
        <w:t>ноября</w:t>
      </w:r>
      <w:r w:rsidRPr="00A62858">
        <w:rPr>
          <w:spacing w:val="-6"/>
        </w:rPr>
        <w:t xml:space="preserve"> 202</w:t>
      </w:r>
      <w:r w:rsidR="008D69AF">
        <w:rPr>
          <w:spacing w:val="-6"/>
        </w:rPr>
        <w:t>2</w:t>
      </w:r>
      <w:r w:rsidRPr="00A62858">
        <w:rPr>
          <w:spacing w:val="-6"/>
        </w:rPr>
        <w:t xml:space="preserve"> г. № </w:t>
      </w:r>
      <w:r>
        <w:rPr>
          <w:spacing w:val="-6"/>
        </w:rPr>
        <w:t>200</w:t>
      </w:r>
      <w:r w:rsidRPr="00A62858">
        <w:rPr>
          <w:spacing w:val="-6"/>
        </w:rPr>
        <w:t>-2</w:t>
      </w:r>
      <w:r>
        <w:rPr>
          <w:spacing w:val="-6"/>
        </w:rPr>
        <w:t>2</w:t>
      </w:r>
      <w:r w:rsidRPr="00A62858">
        <w:rPr>
          <w:spacing w:val="-6"/>
        </w:rPr>
        <w:t>.</w:t>
      </w:r>
    </w:p>
    <w:p w:rsidR="00EE4E74" w:rsidRPr="000A66A2" w:rsidRDefault="00EE4E74" w:rsidP="00EE4E74">
      <w:pPr>
        <w:autoSpaceDE w:val="0"/>
        <w:autoSpaceDN w:val="0"/>
        <w:adjustRightInd w:val="0"/>
        <w:ind w:firstLine="709"/>
        <w:jc w:val="both"/>
        <w:rPr>
          <w:spacing w:val="-4"/>
        </w:rPr>
      </w:pPr>
      <w:r w:rsidRPr="000A66A2">
        <w:rPr>
          <w:spacing w:val="-4"/>
        </w:rPr>
        <w:t xml:space="preserve">Шаг аукциона – </w:t>
      </w:r>
      <w:r>
        <w:rPr>
          <w:spacing w:val="-4"/>
        </w:rPr>
        <w:t>9240</w:t>
      </w:r>
      <w:r w:rsidRPr="000A66A2">
        <w:t xml:space="preserve"> (</w:t>
      </w:r>
      <w:r>
        <w:t>Девять тысяч двести сорок</w:t>
      </w:r>
      <w:r w:rsidRPr="000A66A2">
        <w:t xml:space="preserve">) </w:t>
      </w:r>
      <w:r w:rsidRPr="000A66A2">
        <w:rPr>
          <w:spacing w:val="-4"/>
        </w:rPr>
        <w:t>руб. 00 коп.</w:t>
      </w:r>
    </w:p>
    <w:p w:rsidR="00EE4E74" w:rsidRPr="000A66A2" w:rsidRDefault="00EE4E74" w:rsidP="00EE4E74">
      <w:pPr>
        <w:autoSpaceDE w:val="0"/>
        <w:autoSpaceDN w:val="0"/>
        <w:adjustRightInd w:val="0"/>
        <w:ind w:firstLine="709"/>
        <w:jc w:val="both"/>
        <w:rPr>
          <w:spacing w:val="-4"/>
        </w:rPr>
      </w:pPr>
      <w:r w:rsidRPr="000A66A2">
        <w:rPr>
          <w:spacing w:val="-4"/>
        </w:rPr>
        <w:t xml:space="preserve">Размер задатка – </w:t>
      </w:r>
      <w:r>
        <w:rPr>
          <w:spacing w:val="-4"/>
        </w:rPr>
        <w:t>61 6</w:t>
      </w:r>
      <w:r>
        <w:t>00</w:t>
      </w:r>
      <w:r w:rsidRPr="000A66A2">
        <w:t xml:space="preserve"> (</w:t>
      </w:r>
      <w:r>
        <w:t>Шестьдесят одна тысяча шестьсот</w:t>
      </w:r>
      <w:r w:rsidRPr="000A66A2">
        <w:t xml:space="preserve">) </w:t>
      </w:r>
      <w:r w:rsidRPr="000A66A2">
        <w:rPr>
          <w:spacing w:val="-4"/>
        </w:rPr>
        <w:t>руб. 00 коп.</w:t>
      </w:r>
    </w:p>
    <w:p w:rsidR="00E20333" w:rsidRPr="000A66A2" w:rsidRDefault="00E20333"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lastRenderedPageBreak/>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C76D0D"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C76D0D"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9F1603">
        <w:t>1</w:t>
      </w:r>
      <w:r w:rsidR="00377688">
        <w:t>5</w:t>
      </w:r>
      <w:r w:rsidRPr="00EE047D">
        <w:t xml:space="preserve"> </w:t>
      </w:r>
      <w:r w:rsidR="00377688">
        <w:t>июня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lastRenderedPageBreak/>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lastRenderedPageBreak/>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lastRenderedPageBreak/>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местонахождение которого установлено относительно ориентира, расположенного в границах участка. Почтовый адрес ориентира</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__.__.201_ года № 3,</w:t>
      </w:r>
      <w:r>
        <w:rPr>
          <w:sz w:val="22"/>
          <w:szCs w:val="22"/>
          <w:shd w:val="clear" w:color="auto" w:fill="FFFFFF"/>
        </w:rPr>
        <w:t xml:space="preserve"> ст. 39.18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lastRenderedPageBreak/>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tab/>
        <w:t xml:space="preserve">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w:t>
      </w:r>
      <w:r>
        <w:rPr>
          <w:sz w:val="22"/>
          <w:szCs w:val="22"/>
        </w:rPr>
        <w:lastRenderedPageBreak/>
        <w:t>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875" w:rsidRDefault="00E75875" w:rsidP="00C8062B">
      <w:r>
        <w:separator/>
      </w:r>
    </w:p>
  </w:endnote>
  <w:endnote w:type="continuationSeparator" w:id="1">
    <w:p w:rsidR="00E75875" w:rsidRDefault="00E75875"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75" w:rsidRDefault="00C76D0D" w:rsidP="00AD779E">
    <w:pPr>
      <w:pStyle w:val="a5"/>
      <w:framePr w:wrap="around" w:vAnchor="text" w:hAnchor="margin" w:xAlign="right" w:y="1"/>
      <w:rPr>
        <w:rStyle w:val="a7"/>
      </w:rPr>
    </w:pPr>
    <w:r>
      <w:rPr>
        <w:rStyle w:val="a7"/>
      </w:rPr>
      <w:fldChar w:fldCharType="begin"/>
    </w:r>
    <w:r w:rsidR="00E75875">
      <w:rPr>
        <w:rStyle w:val="a7"/>
      </w:rPr>
      <w:instrText xml:space="preserve">PAGE  </w:instrText>
    </w:r>
    <w:r>
      <w:rPr>
        <w:rStyle w:val="a7"/>
      </w:rPr>
      <w:fldChar w:fldCharType="end"/>
    </w:r>
  </w:p>
  <w:p w:rsidR="00E75875" w:rsidRDefault="00E75875"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75" w:rsidRDefault="00E75875"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875" w:rsidRDefault="00E75875" w:rsidP="00C8062B">
      <w:r>
        <w:separator/>
      </w:r>
    </w:p>
  </w:footnote>
  <w:footnote w:type="continuationSeparator" w:id="1">
    <w:p w:rsidR="00E75875" w:rsidRDefault="00E75875" w:rsidP="00C8062B">
      <w:r>
        <w:continuationSeparator/>
      </w:r>
    </w:p>
  </w:footnote>
  <w:footnote w:id="2">
    <w:p w:rsidR="00E75875" w:rsidRPr="004A471B" w:rsidRDefault="00E75875"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E75875" w:rsidRDefault="00E75875"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75" w:rsidRDefault="00C76D0D">
    <w:pPr>
      <w:pStyle w:val="a8"/>
      <w:jc w:val="right"/>
    </w:pPr>
    <w:fldSimple w:instr="PAGE   \* MERGEFORMAT">
      <w:r w:rsidR="00020B01">
        <w:rPr>
          <w:noProof/>
        </w:rPr>
        <w:t>13</w:t>
      </w:r>
    </w:fldSimple>
  </w:p>
  <w:p w:rsidR="00E75875" w:rsidRDefault="00E758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0B01"/>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6680"/>
    <w:rsid w:val="005E77F9"/>
    <w:rsid w:val="005F594D"/>
    <w:rsid w:val="005F59D9"/>
    <w:rsid w:val="005F738B"/>
    <w:rsid w:val="00602B59"/>
    <w:rsid w:val="00605B24"/>
    <w:rsid w:val="00610C05"/>
    <w:rsid w:val="006141F2"/>
    <w:rsid w:val="0061464A"/>
    <w:rsid w:val="00621192"/>
    <w:rsid w:val="006212D0"/>
    <w:rsid w:val="00622B79"/>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2739F"/>
    <w:rsid w:val="00C360F2"/>
    <w:rsid w:val="00C37C7C"/>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1012"/>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77DFC"/>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88"/>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6586</Words>
  <Characters>37545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2023-05-15T11:42:00Z</dcterms:created>
  <dcterms:modified xsi:type="dcterms:W3CDTF">2023-05-15T11:42:00Z</dcterms:modified>
</cp:coreProperties>
</file>