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D35700" w:rsidRDefault="00493EA7" w:rsidP="00493EA7">
      <w:pPr>
        <w:ind w:firstLine="709"/>
        <w:jc w:val="both"/>
        <w:rPr>
          <w:b/>
          <w:bCs/>
          <w:spacing w:val="-6"/>
          <w:lang w:val="en-US"/>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земельных участков</w:t>
      </w:r>
      <w:r>
        <w:t xml:space="preserve">, </w:t>
      </w:r>
      <w:r w:rsidRPr="00EA3375">
        <w:rPr>
          <w:bCs/>
          <w:spacing w:val="-6"/>
        </w:rPr>
        <w:t>на универсальной торговой платформе ЗАО «</w:t>
      </w:r>
      <w:proofErr w:type="spellStart"/>
      <w:r w:rsidRPr="00EA3375">
        <w:rPr>
          <w:bCs/>
          <w:spacing w:val="-6"/>
        </w:rPr>
        <w:t>Сбербанк-АСТ</w:t>
      </w:r>
      <w:proofErr w:type="spellEnd"/>
      <w:r w:rsidRPr="00EA3375">
        <w:rPr>
          <w:bCs/>
          <w:spacing w:val="-6"/>
        </w:rPr>
        <w:t>»</w:t>
      </w:r>
      <w:r>
        <w:rPr>
          <w:bCs/>
          <w:spacing w:val="-6"/>
        </w:rPr>
        <w:t xml:space="preserve"> </w:t>
      </w:r>
      <w:hyperlink r:id="rId8" w:history="1">
        <w:r w:rsidRPr="00EA3375">
          <w:rPr>
            <w:bCs/>
            <w:spacing w:val="-6"/>
          </w:rPr>
          <w:t>http://utp.sberbank-ast.ru</w:t>
        </w:r>
      </w:hyperlink>
      <w:r w:rsidRPr="00E57056">
        <w:rPr>
          <w:b/>
          <w:bCs/>
          <w:spacing w:val="-6"/>
        </w:rPr>
        <w:t>.</w:t>
      </w:r>
      <w:r w:rsidR="00D51111" w:rsidRPr="00E57056">
        <w:rPr>
          <w:b/>
          <w:bCs/>
          <w:spacing w:val="-6"/>
        </w:rPr>
        <w:t xml:space="preserve"> </w:t>
      </w:r>
      <w:r w:rsidR="00D35700">
        <w:rPr>
          <w:b/>
          <w:bCs/>
          <w:spacing w:val="-6"/>
        </w:rPr>
        <w:t xml:space="preserve">Номер процедуры </w:t>
      </w:r>
      <w:r w:rsidR="00D35700">
        <w:rPr>
          <w:rStyle w:val="es-el-code-term"/>
          <w:rFonts w:ascii="Arial" w:hAnsi="Arial" w:cs="Arial"/>
          <w:b/>
          <w:bCs/>
          <w:color w:val="000000"/>
          <w:sz w:val="21"/>
          <w:szCs w:val="21"/>
          <w:bdr w:val="none" w:sz="0" w:space="0" w:color="auto" w:frame="1"/>
          <w:shd w:val="clear" w:color="auto" w:fill="FFFFFF"/>
        </w:rPr>
        <w:t>SBR012-2311010157</w:t>
      </w:r>
      <w:r w:rsidR="00D35700">
        <w:rPr>
          <w:rStyle w:val="es-el-code-term"/>
          <w:rFonts w:ascii="Arial" w:hAnsi="Arial" w:cs="Arial"/>
          <w:b/>
          <w:bCs/>
          <w:color w:val="000000"/>
          <w:sz w:val="21"/>
          <w:szCs w:val="21"/>
          <w:bdr w:val="none" w:sz="0" w:space="0" w:color="auto" w:frame="1"/>
          <w:shd w:val="clear" w:color="auto" w:fill="FFFFFF"/>
          <w:lang w:val="en-US"/>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муниципального района </w:t>
      </w:r>
      <w:r w:rsidRPr="002838C8">
        <w:rPr>
          <w:rFonts w:ascii="Times New Roman" w:hAnsi="Times New Roman" w:cs="Times New Roman"/>
          <w:sz w:val="24"/>
          <w:szCs w:val="24"/>
        </w:rPr>
        <w:t xml:space="preserve">от </w:t>
      </w:r>
      <w:r w:rsidR="00580855">
        <w:rPr>
          <w:rFonts w:ascii="Times New Roman" w:hAnsi="Times New Roman" w:cs="Times New Roman"/>
          <w:sz w:val="24"/>
          <w:szCs w:val="24"/>
        </w:rPr>
        <w:t>31</w:t>
      </w:r>
      <w:r w:rsidR="00823B29">
        <w:rPr>
          <w:rFonts w:ascii="Times New Roman" w:hAnsi="Times New Roman" w:cs="Times New Roman"/>
          <w:sz w:val="24"/>
          <w:szCs w:val="24"/>
        </w:rPr>
        <w:t xml:space="preserve"> </w:t>
      </w:r>
      <w:r w:rsidR="00580855">
        <w:rPr>
          <w:rFonts w:ascii="Times New Roman" w:hAnsi="Times New Roman" w:cs="Times New Roman"/>
          <w:sz w:val="24"/>
          <w:szCs w:val="24"/>
        </w:rPr>
        <w:t>ок</w:t>
      </w:r>
      <w:r w:rsidR="00621A36">
        <w:rPr>
          <w:rFonts w:ascii="Times New Roman" w:hAnsi="Times New Roman" w:cs="Times New Roman"/>
          <w:sz w:val="24"/>
          <w:szCs w:val="24"/>
        </w:rPr>
        <w:t>тября</w:t>
      </w:r>
      <w:r w:rsidR="00823B29">
        <w:rPr>
          <w:rFonts w:ascii="Times New Roman" w:hAnsi="Times New Roman" w:cs="Times New Roman"/>
          <w:sz w:val="24"/>
          <w:szCs w:val="24"/>
        </w:rPr>
        <w:t xml:space="preserve"> 2023 года № </w:t>
      </w:r>
      <w:r w:rsidR="00580855">
        <w:rPr>
          <w:rFonts w:ascii="Times New Roman" w:hAnsi="Times New Roman" w:cs="Times New Roman"/>
          <w:sz w:val="24"/>
          <w:szCs w:val="24"/>
        </w:rPr>
        <w:t>1053</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621A36">
        <w:rPr>
          <w:spacing w:val="-6"/>
        </w:rPr>
        <w:t>2</w:t>
      </w:r>
      <w:r>
        <w:rPr>
          <w:spacing w:val="-6"/>
        </w:rPr>
        <w:t xml:space="preserve"> </w:t>
      </w:r>
      <w:r w:rsidR="00580855">
        <w:rPr>
          <w:spacing w:val="-6"/>
        </w:rPr>
        <w:t>ноя</w:t>
      </w:r>
      <w:r w:rsidR="00621A36">
        <w:rPr>
          <w:spacing w:val="-6"/>
        </w:rPr>
        <w:t>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580855">
        <w:rPr>
          <w:bCs/>
          <w:spacing w:val="-6"/>
        </w:rPr>
        <w:t>1</w:t>
      </w:r>
      <w:r>
        <w:rPr>
          <w:bCs/>
          <w:spacing w:val="-6"/>
        </w:rPr>
        <w:t xml:space="preserve"> </w:t>
      </w:r>
      <w:r w:rsidR="00580855">
        <w:rPr>
          <w:bCs/>
          <w:spacing w:val="-6"/>
        </w:rPr>
        <w:t>дека</w:t>
      </w:r>
      <w:r w:rsidR="00621A36">
        <w:rPr>
          <w:bCs/>
          <w:spacing w:val="-6"/>
        </w:rPr>
        <w:t>бря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580855">
        <w:rPr>
          <w:spacing w:val="-6"/>
        </w:rPr>
        <w:t>4</w:t>
      </w:r>
      <w:r>
        <w:rPr>
          <w:spacing w:val="-6"/>
        </w:rPr>
        <w:t xml:space="preserve"> </w:t>
      </w:r>
      <w:r w:rsidR="00580855">
        <w:rPr>
          <w:spacing w:val="-6"/>
        </w:rPr>
        <w:t>дека</w:t>
      </w:r>
      <w:r w:rsidR="00621A36">
        <w:rPr>
          <w:spacing w:val="-6"/>
        </w:rPr>
        <w:t>бря</w:t>
      </w:r>
      <w:r>
        <w:rPr>
          <w:spacing w:val="-6"/>
        </w:rPr>
        <w:t xml:space="preserve">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580855">
        <w:rPr>
          <w:bCs/>
          <w:spacing w:val="-6"/>
        </w:rPr>
        <w:t>5</w:t>
      </w:r>
      <w:r>
        <w:rPr>
          <w:bCs/>
          <w:spacing w:val="-6"/>
        </w:rPr>
        <w:t xml:space="preserve"> </w:t>
      </w:r>
      <w:r w:rsidR="00580855">
        <w:rPr>
          <w:bCs/>
          <w:spacing w:val="-6"/>
        </w:rPr>
        <w:t>дека</w:t>
      </w:r>
      <w:r w:rsidR="00621A36">
        <w:rPr>
          <w:bCs/>
          <w:spacing w:val="-6"/>
        </w:rPr>
        <w:t>бр</w:t>
      </w:r>
      <w:r>
        <w:rPr>
          <w:bCs/>
          <w:spacing w:val="-6"/>
        </w:rPr>
        <w:t>я 2023 г. в 0</w:t>
      </w:r>
      <w:r w:rsidR="00823B29">
        <w:rPr>
          <w:bCs/>
          <w:spacing w:val="-6"/>
        </w:rPr>
        <w:t>9</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580855">
        <w:rPr>
          <w:spacing w:val="-6"/>
        </w:rPr>
        <w:t>5</w:t>
      </w:r>
      <w:r>
        <w:rPr>
          <w:spacing w:val="-6"/>
        </w:rPr>
        <w:t xml:space="preserve"> </w:t>
      </w:r>
      <w:r w:rsidR="00580855">
        <w:rPr>
          <w:spacing w:val="-6"/>
        </w:rPr>
        <w:t>дека</w:t>
      </w:r>
      <w:r w:rsidR="00621A36">
        <w:rPr>
          <w:spacing w:val="-6"/>
        </w:rPr>
        <w:t>бря</w:t>
      </w:r>
      <w:r>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Pr>
          <w:spacing w:val="-6"/>
        </w:rPr>
        <w:t>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Форма торгов: аукцион является открытым по составу участников и по форме подачи предложений о размере арендной платы.</w:t>
      </w:r>
    </w:p>
    <w:p w:rsidR="00C038C3" w:rsidRPr="009F0B11" w:rsidRDefault="00C038C3" w:rsidP="00C038C3">
      <w:pPr>
        <w:ind w:firstLine="709"/>
        <w:contextualSpacing/>
        <w:jc w:val="both"/>
      </w:pPr>
      <w:r w:rsidRPr="00AB5842">
        <w:rPr>
          <w:b/>
          <w:bCs/>
        </w:rPr>
        <w:lastRenderedPageBreak/>
        <w:t xml:space="preserve">Ограничения участия в аукционе: участниками аукциона являются только субъекты малого и среднего предпринимательства, </w:t>
      </w:r>
      <w:r w:rsidRPr="00AB5842">
        <w:rPr>
          <w:b/>
        </w:rPr>
        <w:t xml:space="preserve">организации, образующие инфраструктуру поддержки субъектов малого и среднего предпринимательства, соответствующие требованиям статьи 15 Закона № 209-ФЗ, </w:t>
      </w:r>
      <w:r w:rsidRPr="00AB5842">
        <w:rPr>
          <w:b/>
          <w:bCs/>
        </w:rPr>
        <w:t xml:space="preserve">за исключением субъектов малого и среднего предпринимательства, в отношении которых не может оказываться поддержка в соответствии с </w:t>
      </w:r>
      <w:hyperlink r:id="rId13" w:history="1">
        <w:r w:rsidRPr="00AB5842">
          <w:rPr>
            <w:b/>
            <w:bCs/>
            <w:color w:val="0000FF"/>
          </w:rPr>
          <w:t>частью 3 статьи 14</w:t>
        </w:r>
      </w:hyperlink>
      <w:r w:rsidRPr="00AB5842">
        <w:rPr>
          <w:b/>
          <w:bCs/>
        </w:rPr>
        <w:t xml:space="preserve"> Федерального закона от 24 июля 2007 г. № 209-ФЗ «О развитии малого и среднего предпринимательства в Российской Федерации».</w:t>
      </w:r>
      <w:r w:rsidRPr="009F0B11">
        <w:t xml:space="preserve"> </w:t>
      </w:r>
    </w:p>
    <w:p w:rsidR="002B21E0" w:rsidRDefault="002B21E0" w:rsidP="002B21E0">
      <w:pPr>
        <w:pStyle w:val="a3"/>
        <w:ind w:firstLine="708"/>
        <w:jc w:val="both"/>
        <w:rPr>
          <w:b w:val="0"/>
          <w:sz w:val="24"/>
          <w:szCs w:val="24"/>
        </w:rPr>
      </w:pPr>
      <w:r>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580855" w:rsidRDefault="00580855" w:rsidP="00580855">
      <w:pPr>
        <w:autoSpaceDE w:val="0"/>
        <w:autoSpaceDN w:val="0"/>
        <w:adjustRightInd w:val="0"/>
        <w:ind w:firstLine="709"/>
        <w:jc w:val="center"/>
        <w:rPr>
          <w:b/>
        </w:rPr>
      </w:pPr>
      <w:r w:rsidRPr="00792873">
        <w:rPr>
          <w:b/>
        </w:rPr>
        <w:t xml:space="preserve">ЛОТ № </w:t>
      </w:r>
      <w:r>
        <w:rPr>
          <w:b/>
        </w:rPr>
        <w:t>1</w:t>
      </w:r>
    </w:p>
    <w:p w:rsidR="00580855" w:rsidRPr="006276DF" w:rsidRDefault="00580855" w:rsidP="00580855">
      <w:pPr>
        <w:autoSpaceDE w:val="0"/>
        <w:autoSpaceDN w:val="0"/>
        <w:adjustRightInd w:val="0"/>
        <w:ind w:firstLine="709"/>
        <w:jc w:val="both"/>
        <w:rPr>
          <w:sz w:val="22"/>
          <w:szCs w:val="22"/>
        </w:rPr>
      </w:pPr>
      <w:r w:rsidRPr="000A66A2">
        <w:t>Предме</w:t>
      </w:r>
      <w:r>
        <w:t>т аукциона – земельный участок находящийся в муниципальной собственности Советского муниципального района</w:t>
      </w:r>
      <w:r w:rsidRPr="000A66A2">
        <w:t>, с кадас</w:t>
      </w:r>
      <w:r>
        <w:t xml:space="preserve">тровым номером </w:t>
      </w:r>
      <w:r>
        <w:rPr>
          <w:sz w:val="22"/>
          <w:szCs w:val="22"/>
        </w:rPr>
        <w:t>12:08:0130102:2</w:t>
      </w:r>
      <w:r w:rsidRPr="000A66A2">
        <w:t xml:space="preserve">, категория земель – земли </w:t>
      </w:r>
      <w:r>
        <w:t>сельскохозяйственного назначения</w:t>
      </w:r>
      <w:r w:rsidRPr="000A66A2">
        <w:t xml:space="preserve">, разрешенное использование – </w:t>
      </w:r>
      <w:r>
        <w:t>для сельхозпроизводства, площадью 119000</w:t>
      </w:r>
      <w:r w:rsidRPr="000A66A2">
        <w:t xml:space="preserve"> кв. м., расположенный по адресу: </w:t>
      </w:r>
      <w:r w:rsidRPr="005D53B7">
        <w:rPr>
          <w:rFonts w:cs="Arial"/>
          <w:sz w:val="22"/>
          <w:szCs w:val="22"/>
        </w:rPr>
        <w:t xml:space="preserve">Республика Марий Эл, Советский </w:t>
      </w:r>
      <w:r>
        <w:rPr>
          <w:rFonts w:cs="Arial"/>
          <w:sz w:val="22"/>
          <w:szCs w:val="22"/>
        </w:rPr>
        <w:t>райо</w:t>
      </w:r>
      <w:r w:rsidRPr="005D53B7">
        <w:rPr>
          <w:rFonts w:cs="Arial"/>
          <w:sz w:val="22"/>
          <w:szCs w:val="22"/>
        </w:rPr>
        <w:t>н</w:t>
      </w:r>
      <w:r>
        <w:rPr>
          <w:rFonts w:cs="Arial"/>
          <w:sz w:val="22"/>
          <w:szCs w:val="22"/>
        </w:rPr>
        <w:t>, в центральной части кадастрового квартала</w:t>
      </w:r>
      <w:r w:rsidRPr="000A66A2">
        <w:t xml:space="preserve"> (далее – земельный участок).</w:t>
      </w:r>
    </w:p>
    <w:p w:rsidR="00580855" w:rsidRPr="00FD21B7" w:rsidRDefault="00580855" w:rsidP="00580855">
      <w:pPr>
        <w:autoSpaceDE w:val="0"/>
        <w:autoSpaceDN w:val="0"/>
        <w:adjustRightInd w:val="0"/>
        <w:ind w:firstLine="709"/>
        <w:jc w:val="both"/>
      </w:pPr>
      <w:r w:rsidRPr="00FD21B7">
        <w:t xml:space="preserve">Ограничения (обременения) права: </w:t>
      </w:r>
      <w:r>
        <w:t>охранная зона воздушной высоковольтной линии электропередач ВЛ 220 кВ "</w:t>
      </w:r>
      <w:proofErr w:type="spellStart"/>
      <w:r>
        <w:t>Чигашево-Дубники</w:t>
      </w:r>
      <w:proofErr w:type="spellEnd"/>
      <w:r>
        <w:t>" с реестровым номером 12:00-6.98, проходящая в южной части земельного участка</w:t>
      </w:r>
      <w:r w:rsidRPr="00FD21B7">
        <w:t>.</w:t>
      </w:r>
    </w:p>
    <w:p w:rsidR="00580855" w:rsidRPr="00FD21B7" w:rsidRDefault="00580855" w:rsidP="00580855">
      <w:pPr>
        <w:autoSpaceDE w:val="0"/>
        <w:autoSpaceDN w:val="0"/>
        <w:adjustRightInd w:val="0"/>
        <w:ind w:firstLine="709"/>
        <w:jc w:val="both"/>
      </w:pPr>
      <w:r w:rsidRPr="00FD21B7">
        <w:t>Срок аренды: 5 (Пять) лет с даты заключения договора аренды.</w:t>
      </w:r>
    </w:p>
    <w:p w:rsidR="00580855" w:rsidRPr="00A62858" w:rsidRDefault="00580855" w:rsidP="00580855">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611</w:t>
      </w:r>
      <w:r>
        <w:rPr>
          <w:bCs/>
          <w:sz w:val="22"/>
          <w:szCs w:val="22"/>
        </w:rPr>
        <w:t>4</w:t>
      </w:r>
      <w:r w:rsidRPr="000A66A2">
        <w:t xml:space="preserve"> (</w:t>
      </w:r>
      <w:r>
        <w:t>Шесть тысяч сто четырнадцать) руб. 00 коп., без</w:t>
      </w:r>
      <w:r w:rsidRPr="000A66A2">
        <w:t xml:space="preserve"> НДС</w:t>
      </w:r>
      <w:r w:rsidRPr="00A62858">
        <w:t>.</w:t>
      </w:r>
    </w:p>
    <w:p w:rsidR="00580855" w:rsidRPr="00A62858" w:rsidRDefault="00580855" w:rsidP="00580855">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w:t>
      </w:r>
      <w:r>
        <w:t>годового размера арендной платы</w:t>
      </w:r>
      <w:r w:rsidRPr="00A62858">
        <w:rPr>
          <w:spacing w:val="-6"/>
        </w:rPr>
        <w:t xml:space="preserve">, составленного независимым оценщиком от </w:t>
      </w:r>
      <w:r>
        <w:rPr>
          <w:spacing w:val="-6"/>
        </w:rPr>
        <w:t>09</w:t>
      </w:r>
      <w:r w:rsidRPr="00A62858">
        <w:rPr>
          <w:spacing w:val="-6"/>
        </w:rPr>
        <w:t xml:space="preserve"> </w:t>
      </w:r>
      <w:r>
        <w:rPr>
          <w:spacing w:val="-6"/>
        </w:rPr>
        <w:t>августа</w:t>
      </w:r>
      <w:r w:rsidRPr="00A62858">
        <w:rPr>
          <w:spacing w:val="-6"/>
        </w:rPr>
        <w:t xml:space="preserve"> 202</w:t>
      </w:r>
      <w:r>
        <w:rPr>
          <w:spacing w:val="-6"/>
        </w:rPr>
        <w:t>3</w:t>
      </w:r>
      <w:r w:rsidRPr="00A62858">
        <w:rPr>
          <w:spacing w:val="-6"/>
        </w:rPr>
        <w:t xml:space="preserve"> г. № </w:t>
      </w:r>
      <w:r>
        <w:rPr>
          <w:spacing w:val="-6"/>
        </w:rPr>
        <w:t>129</w:t>
      </w:r>
      <w:r w:rsidRPr="00A62858">
        <w:rPr>
          <w:spacing w:val="-6"/>
        </w:rPr>
        <w:t>-2</w:t>
      </w:r>
      <w:r>
        <w:rPr>
          <w:spacing w:val="-6"/>
        </w:rPr>
        <w:t>3</w:t>
      </w:r>
      <w:r w:rsidRPr="00A62858">
        <w:rPr>
          <w:spacing w:val="-6"/>
        </w:rPr>
        <w:t>.</w:t>
      </w:r>
    </w:p>
    <w:p w:rsidR="00580855" w:rsidRPr="000A66A2" w:rsidRDefault="00580855" w:rsidP="00580855">
      <w:pPr>
        <w:autoSpaceDE w:val="0"/>
        <w:autoSpaceDN w:val="0"/>
        <w:adjustRightInd w:val="0"/>
        <w:ind w:firstLine="709"/>
        <w:jc w:val="both"/>
        <w:rPr>
          <w:spacing w:val="-4"/>
        </w:rPr>
      </w:pPr>
      <w:r w:rsidRPr="000A66A2">
        <w:rPr>
          <w:spacing w:val="-4"/>
        </w:rPr>
        <w:t>Шаг аукциона –</w:t>
      </w:r>
      <w:r>
        <w:rPr>
          <w:spacing w:val="-4"/>
        </w:rPr>
        <w:t xml:space="preserve"> 183</w:t>
      </w:r>
      <w:r w:rsidRPr="000A66A2">
        <w:t xml:space="preserve"> (</w:t>
      </w:r>
      <w:r>
        <w:t>Сто восемьдесят три</w:t>
      </w:r>
      <w:r w:rsidRPr="000A66A2">
        <w:t xml:space="preserve">) </w:t>
      </w:r>
      <w:r w:rsidRPr="000A66A2">
        <w:rPr>
          <w:spacing w:val="-4"/>
        </w:rPr>
        <w:t xml:space="preserve">руб. </w:t>
      </w:r>
      <w:r>
        <w:rPr>
          <w:spacing w:val="-4"/>
        </w:rPr>
        <w:t>42</w:t>
      </w:r>
      <w:r w:rsidRPr="000A66A2">
        <w:rPr>
          <w:spacing w:val="-4"/>
        </w:rPr>
        <w:t xml:space="preserve"> коп.</w:t>
      </w:r>
    </w:p>
    <w:p w:rsidR="00580855" w:rsidRPr="000A66A2" w:rsidRDefault="00580855" w:rsidP="00580855">
      <w:pPr>
        <w:autoSpaceDE w:val="0"/>
        <w:autoSpaceDN w:val="0"/>
        <w:adjustRightInd w:val="0"/>
        <w:ind w:firstLine="709"/>
        <w:jc w:val="both"/>
        <w:rPr>
          <w:spacing w:val="-4"/>
        </w:rPr>
      </w:pPr>
      <w:r w:rsidRPr="000A66A2">
        <w:rPr>
          <w:spacing w:val="-4"/>
        </w:rPr>
        <w:t xml:space="preserve">Размер задатка – </w:t>
      </w:r>
      <w:r>
        <w:rPr>
          <w:spacing w:val="-4"/>
        </w:rPr>
        <w:t>1</w:t>
      </w:r>
      <w:r>
        <w:t xml:space="preserve"> 222</w:t>
      </w:r>
      <w:r w:rsidRPr="000A66A2">
        <w:t xml:space="preserve"> (</w:t>
      </w:r>
      <w:r>
        <w:t>Одна тысяча двести двадцать два</w:t>
      </w:r>
      <w:r w:rsidRPr="000A66A2">
        <w:t xml:space="preserve">) </w:t>
      </w:r>
      <w:r w:rsidRPr="000A66A2">
        <w:rPr>
          <w:spacing w:val="-4"/>
        </w:rPr>
        <w:t xml:space="preserve">руб. </w:t>
      </w:r>
      <w:r>
        <w:rPr>
          <w:spacing w:val="-4"/>
        </w:rPr>
        <w:t>8</w:t>
      </w:r>
      <w:r w:rsidRPr="000A66A2">
        <w:rPr>
          <w:spacing w:val="-4"/>
        </w:rPr>
        <w:t>0 коп.</w:t>
      </w:r>
    </w:p>
    <w:p w:rsidR="00580855" w:rsidRPr="00F47FD1" w:rsidRDefault="00580855" w:rsidP="00580855">
      <w:pPr>
        <w:autoSpaceDE w:val="0"/>
        <w:autoSpaceDN w:val="0"/>
        <w:adjustRightInd w:val="0"/>
        <w:ind w:firstLine="709"/>
        <w:jc w:val="both"/>
      </w:pPr>
      <w:r w:rsidRPr="00F47FD1">
        <w:t>Разрешенное использование земельного участка не предусматривает возможность строительства зданий, сооружений.</w:t>
      </w:r>
    </w:p>
    <w:p w:rsidR="006247F0" w:rsidRDefault="006247F0" w:rsidP="006247F0">
      <w:pPr>
        <w:autoSpaceDE w:val="0"/>
        <w:autoSpaceDN w:val="0"/>
        <w:adjustRightInd w:val="0"/>
        <w:ind w:firstLine="709"/>
        <w:jc w:val="center"/>
        <w:rPr>
          <w:b/>
        </w:rPr>
      </w:pPr>
      <w:r w:rsidRPr="00792873">
        <w:rPr>
          <w:b/>
        </w:rPr>
        <w:t xml:space="preserve">ЛОТ № </w:t>
      </w:r>
      <w:r w:rsidR="00580855">
        <w:rPr>
          <w:b/>
        </w:rPr>
        <w:t>2</w:t>
      </w:r>
    </w:p>
    <w:p w:rsidR="009A1F12" w:rsidRPr="0056787A" w:rsidRDefault="009A1F12" w:rsidP="009A1F1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00621A36" w:rsidRPr="005E3521">
        <w:t>12:08:0040101:302</w:t>
      </w:r>
      <w:r w:rsidRPr="0056787A">
        <w:t xml:space="preserve">, категория земель – земли населенных пунктов, разрешенное использование – </w:t>
      </w:r>
      <w:r w:rsidR="005832E4" w:rsidRPr="0056787A">
        <w:t>сельскохозяйственное использование</w:t>
      </w:r>
      <w:r w:rsidRPr="0056787A">
        <w:t xml:space="preserve">, площадью </w:t>
      </w:r>
      <w:r w:rsidR="005D1B48" w:rsidRPr="0056787A">
        <w:t>1420002</w:t>
      </w:r>
      <w:r w:rsidRPr="0056787A">
        <w:t xml:space="preserve"> кв. м., расположенный по адресу: </w:t>
      </w:r>
      <w:r w:rsidR="00621A36" w:rsidRPr="0056787A">
        <w:t>Р</w:t>
      </w:r>
      <w:r w:rsidR="005832E4" w:rsidRPr="0056787A">
        <w:t xml:space="preserve">оссийская Федерация, </w:t>
      </w:r>
      <w:r w:rsidRPr="0056787A">
        <w:t xml:space="preserve">Республика Марий Эл, </w:t>
      </w:r>
      <w:r w:rsidR="00823B29" w:rsidRPr="0056787A">
        <w:t>Совет</w:t>
      </w:r>
      <w:r w:rsidRPr="0056787A">
        <w:t xml:space="preserve">ский </w:t>
      </w:r>
      <w:r w:rsidR="005832E4" w:rsidRPr="0056787A">
        <w:t xml:space="preserve">муниципальный </w:t>
      </w:r>
      <w:r w:rsidR="00621A36" w:rsidRPr="0056787A">
        <w:t>район</w:t>
      </w:r>
      <w:r w:rsidRPr="0056787A">
        <w:t xml:space="preserve"> (далее – земельный участок).</w:t>
      </w:r>
    </w:p>
    <w:p w:rsidR="00FD21B7" w:rsidRPr="00FD21B7" w:rsidRDefault="00FD21B7" w:rsidP="00FD21B7">
      <w:pPr>
        <w:autoSpaceDE w:val="0"/>
        <w:autoSpaceDN w:val="0"/>
        <w:adjustRightInd w:val="0"/>
        <w:ind w:firstLine="709"/>
        <w:jc w:val="both"/>
      </w:pPr>
      <w:r w:rsidRPr="00FD21B7">
        <w:t>Ограничения (обременения) права:</w:t>
      </w:r>
      <w:r w:rsidR="00830626">
        <w:t xml:space="preserve"> прибрежная защитная полоса реки </w:t>
      </w:r>
      <w:proofErr w:type="spellStart"/>
      <w:r w:rsidR="00830626">
        <w:t>Кадам</w:t>
      </w:r>
      <w:proofErr w:type="spellEnd"/>
      <w:r w:rsidR="00830626">
        <w:t xml:space="preserve">  в границах Республики Марий Эл площадью 84 кв.м . с реестровым номером 12:08-6.382; </w:t>
      </w:r>
      <w:proofErr w:type="spellStart"/>
      <w:r w:rsidR="00830626">
        <w:t>водоохранная</w:t>
      </w:r>
      <w:proofErr w:type="spellEnd"/>
      <w:r w:rsidR="00830626">
        <w:t xml:space="preserve"> зона реки </w:t>
      </w:r>
      <w:proofErr w:type="spellStart"/>
      <w:r w:rsidR="00830626">
        <w:t>Кадам</w:t>
      </w:r>
      <w:proofErr w:type="spellEnd"/>
      <w:r w:rsidR="00830626">
        <w:t xml:space="preserve"> в границах Республики Марий Эл площадью 7165 кв.м. с реестровым номером 12:08-6.376.</w:t>
      </w:r>
    </w:p>
    <w:p w:rsidR="00FD21B7" w:rsidRPr="00FD21B7" w:rsidRDefault="00FD21B7" w:rsidP="00FD21B7">
      <w:pPr>
        <w:autoSpaceDE w:val="0"/>
        <w:autoSpaceDN w:val="0"/>
        <w:adjustRightInd w:val="0"/>
        <w:ind w:firstLine="709"/>
        <w:jc w:val="both"/>
      </w:pPr>
      <w:r w:rsidRPr="00FD21B7">
        <w:t>Срок аренды: 5 (Пять) лет с даты заключения договора аренды.</w:t>
      </w:r>
    </w:p>
    <w:p w:rsidR="00F56AF4" w:rsidRPr="00A62858" w:rsidRDefault="00F56AF4" w:rsidP="00F56AF4">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5</w:t>
      </w:r>
      <w:r w:rsidR="005D1B48">
        <w:t>8</w:t>
      </w:r>
      <w:r>
        <w:t xml:space="preserve"> </w:t>
      </w:r>
      <w:r w:rsidR="005D1B48">
        <w:t>878</w:t>
      </w:r>
      <w:r w:rsidRPr="000A66A2">
        <w:t xml:space="preserve"> (</w:t>
      </w:r>
      <w:r>
        <w:t>Пят</w:t>
      </w:r>
      <w:r w:rsidR="005832E4">
        <w:t>ьдесят</w:t>
      </w:r>
      <w:r>
        <w:t xml:space="preserve"> </w:t>
      </w:r>
      <w:r w:rsidR="005D1B48">
        <w:t xml:space="preserve">восемь </w:t>
      </w:r>
      <w:r>
        <w:t>тысяч</w:t>
      </w:r>
      <w:r w:rsidR="005832E4">
        <w:t xml:space="preserve"> восемь</w:t>
      </w:r>
      <w:r w:rsidR="005D1B48">
        <w:t>сот семьдесят восемь</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w:t>
      </w:r>
      <w:r w:rsidR="00C76801">
        <w:t>годового размера арендной платы</w:t>
      </w:r>
      <w:r w:rsidRPr="00A62858">
        <w:rPr>
          <w:spacing w:val="-6"/>
        </w:rPr>
        <w:t xml:space="preserve">, составленного независимым оценщиком от </w:t>
      </w:r>
      <w:r w:rsidR="005D1B48">
        <w:rPr>
          <w:spacing w:val="-6"/>
        </w:rPr>
        <w:t>16</w:t>
      </w:r>
      <w:r w:rsidRPr="00A62858">
        <w:rPr>
          <w:spacing w:val="-6"/>
        </w:rPr>
        <w:t xml:space="preserve"> </w:t>
      </w:r>
      <w:r w:rsidR="005D1B48">
        <w:rPr>
          <w:spacing w:val="-6"/>
        </w:rPr>
        <w:t>августа</w:t>
      </w:r>
      <w:r w:rsidRPr="00A62858">
        <w:rPr>
          <w:spacing w:val="-6"/>
        </w:rPr>
        <w:t xml:space="preserve"> 202</w:t>
      </w:r>
      <w:r>
        <w:rPr>
          <w:spacing w:val="-6"/>
        </w:rPr>
        <w:t>3</w:t>
      </w:r>
      <w:r w:rsidRPr="00A62858">
        <w:rPr>
          <w:spacing w:val="-6"/>
        </w:rPr>
        <w:t xml:space="preserve"> г. № </w:t>
      </w:r>
      <w:r w:rsidR="005832E4">
        <w:rPr>
          <w:spacing w:val="-6"/>
        </w:rPr>
        <w:t>1</w:t>
      </w:r>
      <w:r w:rsidR="005D1B48">
        <w:rPr>
          <w:spacing w:val="-6"/>
        </w:rPr>
        <w:t>37</w:t>
      </w:r>
      <w:r w:rsidRPr="00A62858">
        <w:rPr>
          <w:spacing w:val="-6"/>
        </w:rPr>
        <w:t>-2</w:t>
      </w:r>
      <w:r>
        <w:rPr>
          <w:spacing w:val="-6"/>
        </w:rPr>
        <w:t>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Шаг аукциона –</w:t>
      </w:r>
      <w:r w:rsidR="005832E4">
        <w:rPr>
          <w:spacing w:val="-4"/>
        </w:rPr>
        <w:t xml:space="preserve"> </w:t>
      </w:r>
      <w:r w:rsidR="005D1B48">
        <w:rPr>
          <w:spacing w:val="-4"/>
        </w:rPr>
        <w:t>1766</w:t>
      </w:r>
      <w:r w:rsidRPr="000A66A2">
        <w:t xml:space="preserve"> (</w:t>
      </w:r>
      <w:r w:rsidR="005832E4">
        <w:t>Одна тысяча</w:t>
      </w:r>
      <w:r w:rsidR="00FD35BC">
        <w:t xml:space="preserve"> </w:t>
      </w:r>
      <w:r w:rsidR="005D1B48">
        <w:t>сем</w:t>
      </w:r>
      <w:r w:rsidR="00FD35BC">
        <w:t>ь</w:t>
      </w:r>
      <w:r w:rsidR="005832E4">
        <w:t xml:space="preserve">сот </w:t>
      </w:r>
      <w:r w:rsidR="005D1B48">
        <w:t>шестьдесят шесть</w:t>
      </w:r>
      <w:r w:rsidRPr="000A66A2">
        <w:t xml:space="preserve">) </w:t>
      </w:r>
      <w:r w:rsidRPr="000A66A2">
        <w:rPr>
          <w:spacing w:val="-4"/>
        </w:rPr>
        <w:t xml:space="preserve">руб. </w:t>
      </w:r>
      <w:r w:rsidR="005D1B48">
        <w:rPr>
          <w:spacing w:val="-4"/>
        </w:rPr>
        <w:t>3</w:t>
      </w:r>
      <w:r w:rsidR="005832E4">
        <w:rPr>
          <w:spacing w:val="-4"/>
        </w:rPr>
        <w:t>4</w:t>
      </w:r>
      <w:r w:rsidRPr="000A66A2">
        <w:rPr>
          <w:spacing w:val="-4"/>
        </w:rPr>
        <w:t xml:space="preserve"> коп.</w:t>
      </w:r>
    </w:p>
    <w:p w:rsidR="009A1F12" w:rsidRPr="000A66A2" w:rsidRDefault="009A1F12" w:rsidP="009A1F12">
      <w:pPr>
        <w:autoSpaceDE w:val="0"/>
        <w:autoSpaceDN w:val="0"/>
        <w:adjustRightInd w:val="0"/>
        <w:ind w:firstLine="709"/>
        <w:jc w:val="both"/>
        <w:rPr>
          <w:spacing w:val="-4"/>
        </w:rPr>
      </w:pPr>
      <w:r w:rsidRPr="000A66A2">
        <w:rPr>
          <w:spacing w:val="-4"/>
        </w:rPr>
        <w:lastRenderedPageBreak/>
        <w:t xml:space="preserve">Размер задатка – </w:t>
      </w:r>
      <w:r w:rsidR="005832E4">
        <w:rPr>
          <w:spacing w:val="-4"/>
        </w:rPr>
        <w:t>1</w:t>
      </w:r>
      <w:r w:rsidR="005D1B48">
        <w:rPr>
          <w:spacing w:val="-4"/>
        </w:rPr>
        <w:t>1</w:t>
      </w:r>
      <w:r>
        <w:t xml:space="preserve"> </w:t>
      </w:r>
      <w:r w:rsidR="005D1B48">
        <w:t>775</w:t>
      </w:r>
      <w:r w:rsidRPr="000A66A2">
        <w:t xml:space="preserve"> (</w:t>
      </w:r>
      <w:r w:rsidR="005D1B48">
        <w:t>Одиннадца</w:t>
      </w:r>
      <w:r w:rsidR="005832E4">
        <w:t xml:space="preserve">ть </w:t>
      </w:r>
      <w:r>
        <w:t>тысяч</w:t>
      </w:r>
      <w:r w:rsidR="005832E4">
        <w:t xml:space="preserve"> </w:t>
      </w:r>
      <w:r w:rsidR="005D1B48">
        <w:t>семьсот семьдесят пять</w:t>
      </w:r>
      <w:r w:rsidRPr="000A66A2">
        <w:t xml:space="preserve">) </w:t>
      </w:r>
      <w:r w:rsidRPr="000A66A2">
        <w:rPr>
          <w:spacing w:val="-4"/>
        </w:rPr>
        <w:t xml:space="preserve">руб. </w:t>
      </w:r>
      <w:r w:rsidR="005D1B48">
        <w:rPr>
          <w:spacing w:val="-4"/>
        </w:rPr>
        <w:t>6</w:t>
      </w:r>
      <w:r w:rsidRPr="000A66A2">
        <w:rPr>
          <w:spacing w:val="-4"/>
        </w:rPr>
        <w:t>0 коп.</w:t>
      </w:r>
    </w:p>
    <w:p w:rsidR="002D7A00" w:rsidRPr="00F47FD1" w:rsidRDefault="002D7A00" w:rsidP="002D7A00">
      <w:pPr>
        <w:autoSpaceDE w:val="0"/>
        <w:autoSpaceDN w:val="0"/>
        <w:adjustRightInd w:val="0"/>
        <w:ind w:firstLine="709"/>
        <w:jc w:val="both"/>
      </w:pPr>
      <w:r w:rsidRPr="00F47FD1">
        <w:t>Разрешенное использование земельного участка не предусматривает возможность строительства зданий, сооружений.</w:t>
      </w:r>
    </w:p>
    <w:p w:rsidR="005832E4" w:rsidRDefault="005832E4" w:rsidP="000C3170">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lastRenderedPageBreak/>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7A0673"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7A0673"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580855" w:rsidRPr="00580855">
        <w:rPr>
          <w:b/>
        </w:rPr>
        <w:t>4</w:t>
      </w:r>
      <w:r w:rsidR="005F3341" w:rsidRPr="00580855">
        <w:rPr>
          <w:b/>
        </w:rPr>
        <w:t xml:space="preserve"> </w:t>
      </w:r>
      <w:r w:rsidR="00580855">
        <w:rPr>
          <w:b/>
        </w:rPr>
        <w:t>дека</w:t>
      </w:r>
      <w:r w:rsidR="005D1B48">
        <w:rPr>
          <w:b/>
        </w:rPr>
        <w:t>бря</w:t>
      </w:r>
      <w:r w:rsidRPr="00447D8B">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r>
      <w:r w:rsidRPr="00EE047D">
        <w:lastRenderedPageBreak/>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lastRenderedPageBreak/>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w:t>
      </w:r>
      <w:r w:rsidR="00417042">
        <w:rPr>
          <w:rFonts w:ascii="Times New Roman" w:hAnsi="Times New Roman" w:cs="Times New Roman"/>
          <w:sz w:val="24"/>
          <w:szCs w:val="24"/>
        </w:rPr>
        <w:lastRenderedPageBreak/>
        <w:t>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lastRenderedPageBreak/>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xml:space="preserve">,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w:t>
      </w:r>
      <w:r>
        <w:lastRenderedPageBreak/>
        <w:t>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80855">
      <w:pPr>
        <w:spacing w:before="40"/>
        <w:jc w:val="center"/>
        <w:outlineLvl w:val="0"/>
        <w:rPr>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80855" w:rsidRDefault="005F3341" w:rsidP="00580855">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580855" w:rsidRDefault="00580855" w:rsidP="00580855">
      <w:pPr>
        <w:spacing w:before="120"/>
        <w:jc w:val="both"/>
      </w:pPr>
      <w:r w:rsidRPr="00484097">
        <w:t>банковски</w:t>
      </w:r>
      <w:r>
        <w:t>е</w:t>
      </w:r>
      <w:r w:rsidRPr="00484097">
        <w:t xml:space="preserve"> реквизит</w:t>
      </w:r>
      <w:r>
        <w:t>ы счета для возврата задатка:_______________________________</w:t>
      </w:r>
    </w:p>
    <w:p w:rsidR="00580855" w:rsidRPr="00981311" w:rsidRDefault="00580855" w:rsidP="005F3341">
      <w:pPr>
        <w:spacing w:before="120"/>
        <w:jc w:val="both"/>
        <w:rPr>
          <w:rFonts w:ascii="Times New Roman CYR" w:hAnsi="Times New Roman CYR"/>
          <w:sz w:val="16"/>
          <w:szCs w:val="16"/>
        </w:rPr>
      </w:pPr>
      <w:r>
        <w:t>__________________________________________________________________________</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lastRenderedPageBreak/>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49" w:rsidRDefault="00430A49" w:rsidP="00C8062B">
      <w:r>
        <w:separator/>
      </w:r>
    </w:p>
  </w:endnote>
  <w:endnote w:type="continuationSeparator" w:id="1">
    <w:p w:rsidR="00430A49" w:rsidRDefault="00430A49"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7A0673" w:rsidP="00AD779E">
    <w:pPr>
      <w:pStyle w:val="a5"/>
      <w:framePr w:wrap="around" w:vAnchor="text" w:hAnchor="margin" w:xAlign="right" w:y="1"/>
      <w:rPr>
        <w:rStyle w:val="a7"/>
      </w:rPr>
    </w:pPr>
    <w:r>
      <w:rPr>
        <w:rStyle w:val="a7"/>
      </w:rPr>
      <w:fldChar w:fldCharType="begin"/>
    </w:r>
    <w:r w:rsidR="00430A49">
      <w:rPr>
        <w:rStyle w:val="a7"/>
      </w:rPr>
      <w:instrText xml:space="preserve">PAGE  </w:instrText>
    </w:r>
    <w:r>
      <w:rPr>
        <w:rStyle w:val="a7"/>
      </w:rPr>
      <w:fldChar w:fldCharType="end"/>
    </w:r>
  </w:p>
  <w:p w:rsidR="00430A49" w:rsidRDefault="00430A49"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430A49"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49" w:rsidRDefault="00430A49" w:rsidP="00C8062B">
      <w:r>
        <w:separator/>
      </w:r>
    </w:p>
  </w:footnote>
  <w:footnote w:type="continuationSeparator" w:id="1">
    <w:p w:rsidR="00430A49" w:rsidRDefault="00430A49" w:rsidP="00C8062B">
      <w:r>
        <w:continuationSeparator/>
      </w:r>
    </w:p>
  </w:footnote>
  <w:footnote w:id="2">
    <w:p w:rsidR="00430A49" w:rsidRPr="004A471B" w:rsidRDefault="00430A49"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430A49" w:rsidRDefault="00430A49"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7A0673">
    <w:pPr>
      <w:pStyle w:val="a8"/>
      <w:jc w:val="right"/>
    </w:pPr>
    <w:fldSimple w:instr="PAGE   \* MERGEFORMAT">
      <w:r w:rsidR="00222A63">
        <w:rPr>
          <w:noProof/>
        </w:rPr>
        <w:t>10</w:t>
      </w:r>
    </w:fldSimple>
  </w:p>
  <w:p w:rsidR="00430A49" w:rsidRDefault="00430A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2A63"/>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D7A00"/>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07B1"/>
    <w:rsid w:val="00362A81"/>
    <w:rsid w:val="00364FC6"/>
    <w:rsid w:val="003665AA"/>
    <w:rsid w:val="00370732"/>
    <w:rsid w:val="00372432"/>
    <w:rsid w:val="00372BFF"/>
    <w:rsid w:val="00374010"/>
    <w:rsid w:val="0037408F"/>
    <w:rsid w:val="00375527"/>
    <w:rsid w:val="0038558B"/>
    <w:rsid w:val="003867AC"/>
    <w:rsid w:val="00390394"/>
    <w:rsid w:val="00393BA1"/>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45F5"/>
    <w:rsid w:val="0056787A"/>
    <w:rsid w:val="00571571"/>
    <w:rsid w:val="00571F0F"/>
    <w:rsid w:val="00580855"/>
    <w:rsid w:val="00581B53"/>
    <w:rsid w:val="005832E4"/>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1B48"/>
    <w:rsid w:val="005D6E1D"/>
    <w:rsid w:val="005E1B8D"/>
    <w:rsid w:val="005E3521"/>
    <w:rsid w:val="005E77F9"/>
    <w:rsid w:val="005F3341"/>
    <w:rsid w:val="005F594D"/>
    <w:rsid w:val="005F59D9"/>
    <w:rsid w:val="005F738B"/>
    <w:rsid w:val="00602B59"/>
    <w:rsid w:val="00605B24"/>
    <w:rsid w:val="00610C05"/>
    <w:rsid w:val="006141F2"/>
    <w:rsid w:val="0061464A"/>
    <w:rsid w:val="00621192"/>
    <w:rsid w:val="006212D0"/>
    <w:rsid w:val="00621A36"/>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1E7"/>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067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626"/>
    <w:rsid w:val="008307D3"/>
    <w:rsid w:val="00831CAD"/>
    <w:rsid w:val="0083347C"/>
    <w:rsid w:val="00833DFC"/>
    <w:rsid w:val="00837BA3"/>
    <w:rsid w:val="00840A9F"/>
    <w:rsid w:val="00844315"/>
    <w:rsid w:val="0085648D"/>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9029B"/>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38C3"/>
    <w:rsid w:val="00C06839"/>
    <w:rsid w:val="00C06DF1"/>
    <w:rsid w:val="00C07085"/>
    <w:rsid w:val="00C07352"/>
    <w:rsid w:val="00C12653"/>
    <w:rsid w:val="00C16DFA"/>
    <w:rsid w:val="00C17DC1"/>
    <w:rsid w:val="00C17DEB"/>
    <w:rsid w:val="00C2086A"/>
    <w:rsid w:val="00C227DD"/>
    <w:rsid w:val="00C2467C"/>
    <w:rsid w:val="00C254B6"/>
    <w:rsid w:val="00C36809"/>
    <w:rsid w:val="00C37C7C"/>
    <w:rsid w:val="00C50115"/>
    <w:rsid w:val="00C51803"/>
    <w:rsid w:val="00C53F97"/>
    <w:rsid w:val="00C60D5E"/>
    <w:rsid w:val="00C612EA"/>
    <w:rsid w:val="00C62167"/>
    <w:rsid w:val="00C733B6"/>
    <w:rsid w:val="00C733FF"/>
    <w:rsid w:val="00C73C74"/>
    <w:rsid w:val="00C74D01"/>
    <w:rsid w:val="00C76801"/>
    <w:rsid w:val="00C805D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5700"/>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32EA0"/>
    <w:rsid w:val="00E442DC"/>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91156"/>
    <w:rsid w:val="00E93D65"/>
    <w:rsid w:val="00E96D52"/>
    <w:rsid w:val="00E97500"/>
    <w:rsid w:val="00E97E1C"/>
    <w:rsid w:val="00EB2B3B"/>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30B17"/>
    <w:rsid w:val="00F318EF"/>
    <w:rsid w:val="00F32C59"/>
    <w:rsid w:val="00F349FE"/>
    <w:rsid w:val="00F3634F"/>
    <w:rsid w:val="00F369F0"/>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2A06"/>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D35700"/>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C2D2838835236BE7DF27C187F031F1319BB91C00FC9ED2E258314F901642C5D5CC5C0C3AC5D01427524CBA3131BD5379B2F81902D7EEE233s2F6J"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5434</Words>
  <Characters>30978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2023-05-12T12:30:00Z</cp:lastPrinted>
  <dcterms:created xsi:type="dcterms:W3CDTF">2023-11-02T09:54:00Z</dcterms:created>
  <dcterms:modified xsi:type="dcterms:W3CDTF">2023-11-02T09:54:00Z</dcterms:modified>
</cp:coreProperties>
</file>