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3" w:rsidRPr="006A6D25" w:rsidRDefault="00724C7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0605E0" w:rsidRPr="006A6D25" w:rsidRDefault="00893D38" w:rsidP="000605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1601C0">
        <w:rPr>
          <w:rFonts w:ascii="Times New Roman" w:hAnsi="Times New Roman"/>
          <w:sz w:val="28"/>
          <w:szCs w:val="28"/>
        </w:rPr>
        <w:t xml:space="preserve">от </w:t>
      </w:r>
      <w:r w:rsidR="0004557F" w:rsidRPr="001601C0">
        <w:rPr>
          <w:rFonts w:ascii="Times New Roman" w:hAnsi="Times New Roman"/>
          <w:sz w:val="28"/>
          <w:szCs w:val="28"/>
        </w:rPr>
        <w:t>1</w:t>
      </w:r>
      <w:r w:rsidR="004815B9" w:rsidRPr="001601C0">
        <w:rPr>
          <w:rFonts w:ascii="Times New Roman" w:hAnsi="Times New Roman"/>
          <w:sz w:val="28"/>
          <w:szCs w:val="28"/>
        </w:rPr>
        <w:t>1</w:t>
      </w:r>
      <w:r w:rsidRPr="001601C0">
        <w:rPr>
          <w:rFonts w:ascii="Times New Roman" w:hAnsi="Times New Roman"/>
          <w:sz w:val="28"/>
          <w:szCs w:val="28"/>
        </w:rPr>
        <w:t xml:space="preserve"> </w:t>
      </w:r>
      <w:r w:rsidR="00C95273" w:rsidRPr="001601C0">
        <w:rPr>
          <w:rFonts w:ascii="Times New Roman" w:hAnsi="Times New Roman"/>
          <w:sz w:val="28"/>
          <w:szCs w:val="28"/>
        </w:rPr>
        <w:t>октября</w:t>
      </w:r>
      <w:r w:rsidR="000605E0" w:rsidRPr="001601C0">
        <w:rPr>
          <w:rFonts w:ascii="Times New Roman" w:hAnsi="Times New Roman"/>
          <w:sz w:val="28"/>
          <w:szCs w:val="28"/>
        </w:rPr>
        <w:t xml:space="preserve"> 202</w:t>
      </w:r>
      <w:r w:rsidR="00DC6DA0" w:rsidRPr="001601C0">
        <w:rPr>
          <w:rFonts w:ascii="Times New Roman" w:hAnsi="Times New Roman"/>
          <w:sz w:val="28"/>
          <w:szCs w:val="28"/>
        </w:rPr>
        <w:t>2</w:t>
      </w:r>
      <w:r w:rsidR="000605E0" w:rsidRPr="001601C0">
        <w:rPr>
          <w:rFonts w:ascii="Times New Roman" w:hAnsi="Times New Roman"/>
          <w:sz w:val="28"/>
          <w:szCs w:val="28"/>
        </w:rPr>
        <w:t xml:space="preserve"> г. №</w:t>
      </w:r>
      <w:r w:rsidR="001601C0">
        <w:rPr>
          <w:rFonts w:ascii="Times New Roman" w:hAnsi="Times New Roman"/>
          <w:sz w:val="28"/>
          <w:szCs w:val="28"/>
        </w:rPr>
        <w:t xml:space="preserve"> 293</w:t>
      </w:r>
    </w:p>
    <w:p w:rsidR="00E1556D" w:rsidRDefault="00E1556D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03622" w:rsidRDefault="00603622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02FCC" w:rsidRDefault="00502FCC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0580A" w:rsidRDefault="00D0580A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5048D">
        <w:rPr>
          <w:rFonts w:ascii="Times New Roman" w:hAnsi="Times New Roman"/>
          <w:b/>
        </w:rPr>
        <w:t>ОБЪЯВЛЕНИЕ</w:t>
      </w:r>
    </w:p>
    <w:p w:rsidR="00D0580A" w:rsidRDefault="004815B9" w:rsidP="0072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дополнительном</w:t>
      </w:r>
      <w:r w:rsidR="00D0580A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724C73" w:rsidRPr="00724C73">
        <w:rPr>
          <w:rFonts w:ascii="Times New Roman" w:hAnsi="Times New Roman"/>
          <w:b/>
          <w:sz w:val="24"/>
          <w:szCs w:val="24"/>
        </w:rPr>
        <w:t>отбор</w:t>
      </w:r>
      <w:r w:rsidR="00647F88">
        <w:rPr>
          <w:rFonts w:ascii="Times New Roman" w:hAnsi="Times New Roman"/>
          <w:b/>
          <w:sz w:val="24"/>
          <w:szCs w:val="24"/>
        </w:rPr>
        <w:t>е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893D38">
        <w:rPr>
          <w:rFonts w:ascii="Times New Roman" w:hAnsi="Times New Roman"/>
          <w:b/>
          <w:sz w:val="24"/>
          <w:szCs w:val="24"/>
        </w:rPr>
        <w:t xml:space="preserve">претендентов 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на право получения </w:t>
      </w:r>
      <w:r w:rsidR="007066F0">
        <w:rPr>
          <w:rFonts w:ascii="Times New Roman" w:hAnsi="Times New Roman"/>
          <w:b/>
          <w:bCs/>
          <w:sz w:val="24"/>
          <w:szCs w:val="24"/>
        </w:rPr>
        <w:t>субсиди</w:t>
      </w:r>
      <w:r w:rsidR="00771C1A">
        <w:rPr>
          <w:rFonts w:ascii="Times New Roman" w:hAnsi="Times New Roman"/>
          <w:b/>
          <w:bCs/>
          <w:sz w:val="24"/>
          <w:szCs w:val="24"/>
        </w:rPr>
        <w:t>й</w:t>
      </w:r>
      <w:r w:rsidR="00724C73" w:rsidRPr="0072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515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республиканского бюджета Республики Марий Эл</w:t>
      </w:r>
      <w:r w:rsidR="00331515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8303FB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 w:rsidR="003315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8303FB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посевных площадях, занятых зерновыми, зернобобовыми, масличными (за исключением </w:t>
      </w:r>
      <w:r w:rsidR="003315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8303FB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рапса и сои), кормовыми сельскохозяйственными культурами</w:t>
      </w:r>
      <w:r w:rsidR="00647F88">
        <w:rPr>
          <w:rFonts w:ascii="Times New Roman" w:hAnsi="Times New Roman"/>
          <w:b/>
          <w:bCs/>
          <w:sz w:val="24"/>
          <w:szCs w:val="24"/>
        </w:rPr>
        <w:t>, в 202</w:t>
      </w:r>
      <w:r w:rsidR="004754F1">
        <w:rPr>
          <w:rFonts w:ascii="Times New Roman" w:hAnsi="Times New Roman"/>
          <w:b/>
          <w:bCs/>
          <w:sz w:val="24"/>
          <w:szCs w:val="24"/>
        </w:rPr>
        <w:t>2</w:t>
      </w:r>
      <w:r w:rsidR="00647F88">
        <w:rPr>
          <w:rFonts w:ascii="Times New Roman" w:hAnsi="Times New Roman"/>
          <w:b/>
          <w:bCs/>
          <w:sz w:val="24"/>
          <w:szCs w:val="24"/>
        </w:rPr>
        <w:t xml:space="preserve"> году</w:t>
      </w:r>
      <w:proofErr w:type="gramEnd"/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502FCC" w:rsidRDefault="00502FCC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03622" w:rsidRPr="0065048D" w:rsidRDefault="00603622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B63369" w:rsidTr="005666C4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647F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26" w:rsidRPr="0065689A" w:rsidRDefault="005666C4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на поддержку сельскохозяйственного производства </w:t>
            </w: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 отдельным </w:t>
            </w:r>
            <w:proofErr w:type="spellStart"/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подотраслям</w:t>
            </w:r>
            <w:proofErr w:type="spellEnd"/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растениеводства и животноводства</w:t>
            </w:r>
            <w:r w:rsidR="008303FB" w:rsidRPr="008303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 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</w:t>
            </w:r>
            <w:r w:rsidR="008303FB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субсидии</w:t>
            </w:r>
            <w:r w:rsidR="008303FB" w:rsidRPr="008303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771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DF0826"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предоставляются товаропроизводителям</w:t>
            </w:r>
            <w:proofErr w:type="gramEnd"/>
            <w:r w:rsidR="00DF0826"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целях финансового обеспечения (возмещения)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 по одному или нескольким (всем) из следующих направлений: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дизельного топлива в размере не более 90 процентов стоимости его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сортовых и кондиционных семян, за исключением элитных семян зерновых, зернобобовых, масличных (за исключением рапса и сои), кормовых сельскохозяйственных культур, в размере не более 90 процентов стоимости их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запасных частей к самоходным машинам, сельскохозяйственной технике и оборудованию в размере не более 90 процентов стоимости их приобретения;</w:t>
            </w:r>
          </w:p>
          <w:p w:rsidR="00DF0826" w:rsidRPr="0065689A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проведение работ по </w:t>
            </w:r>
            <w:proofErr w:type="spellStart"/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>фосфоритованию</w:t>
            </w:r>
            <w:proofErr w:type="spellEnd"/>
            <w:r w:rsidRPr="00656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гипсованию посевных площадей, отраженных в проектно-сметной документации, включая приобретение гипса и (или) фосфоритной муки в размере не более 90 процентов стоимости работ и приобретения гипса и (или) фосфоритной муки.</w:t>
            </w: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предоставляются товаропроизводителям на финансовое обеспечение (возмещение) части затрат без учета налога на добавленную стоимость, связанных с производством, реализацией и (или) отгрузкой на собственную переработку сельскохозяйственной продукции.</w:t>
            </w:r>
          </w:p>
          <w:p w:rsidR="005666C4" w:rsidRPr="00AB022C" w:rsidRDefault="004129C0" w:rsidP="00502FC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Для получателей средств, использующих право на освобождение</w:t>
            </w:r>
            <w:r w:rsidR="00502F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</w:t>
            </w:r>
            <w:r w:rsidR="00502F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товаров (работ, услуг), включая сумму налога</w:t>
            </w:r>
            <w:r w:rsidR="00502F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на добавленную стоимость.</w:t>
            </w:r>
          </w:p>
        </w:tc>
      </w:tr>
      <w:tr w:rsidR="005666C4" w:rsidRPr="00B63369" w:rsidTr="005666C4"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16189A">
        <w:trPr>
          <w:trHeight w:val="3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</w:t>
            </w:r>
            <w:r w:rsidR="00C961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 отбора</w:t>
            </w: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>отбора</w:t>
            </w:r>
            <w:proofErr w:type="spellEnd"/>
            <w:proofErr w:type="gramEnd"/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r w:rsidR="00C961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 - запрос предложений</w:t>
            </w:r>
            <w:r w:rsidR="00740C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 претендентов может проводиться в несколько этапов.</w:t>
            </w:r>
          </w:p>
          <w:p w:rsidR="004129C0" w:rsidRPr="00B63369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3324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Участники</w:t>
            </w:r>
            <w:r w:rsidR="00C96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397A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</w:t>
            </w:r>
            <w:r w:rsidR="00C96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отбора - сельскохозяйственные товаропроизводители (за исключением граждан, ведущих личное подсобное хозяйство,</w:t>
            </w:r>
            <w:r w:rsidR="00502F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сельскохозяйственных кредитных потребительских кооперативов),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включенные в единый реестр субъектов малого и среднего предпринимательства, отвечающие критериям отнесения к субъектам малого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3" w:history="1">
              <w:r w:rsidRPr="00B6336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24 июля 2007 г. № 209-ФЗ «О развитии малого и среднего предпринимательства в Российской Федерации»,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подавшие заявки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участие в отборе (далее</w:t>
            </w:r>
            <w:proofErr w:type="gramEnd"/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соответственно - претендент, заявка)</w:t>
            </w:r>
            <w:r w:rsidR="00740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F05DF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6C4" w:rsidRPr="00B63369" w:rsidTr="00FC5078"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1D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ормативные правовые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>, регулирующи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D661F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порядок предоставления субсидии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определены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Правилах</w:t>
            </w:r>
            <w:r w:rsidR="00D66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61F4" w:rsidRPr="00D661F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утвержденных постановлением Правительства Республики Марий</w:t>
            </w:r>
            <w:proofErr w:type="gramEnd"/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C6DA0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C6DA0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DC6DA0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от </w:t>
            </w:r>
            <w:r w:rsidR="008372D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 20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E67F38"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  <w:p w:rsid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Формы документов для предоставления субсидий утверждены приказом Министерства сельского хозяйства и продовольствия Республики Марий Эл от 18 марта 2022 г. № 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документов для предоставления субсидий в рамках постановления Правительства Республики Марий Эл от 18 марта 2022 г. № 127 «О мерах государственной поддержки сельскохозяйственного производства по отдельным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одотраслям</w:t>
            </w:r>
            <w:proofErr w:type="spellEnd"/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растениеводства и животноводства»» (далее - приказ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истерства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5666C4" w:rsidRDefault="005666C4" w:rsidP="00C73F6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E77D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Ставка субсидии на 202</w:t>
            </w:r>
            <w:r w:rsidR="00D661F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Pr="00FE77D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67F3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год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утверждена приказом Министерства сельского хозяйства и продовольствия Республики Марий Эл от 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 марта 202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 г. № 67 «</w:t>
            </w:r>
            <w:r w:rsidR="00C73F62" w:rsidRPr="00C73F62">
              <w:rPr>
                <w:rFonts w:ascii="Times New Roman" w:hAnsi="Times New Roman"/>
                <w:sz w:val="20"/>
                <w:szCs w:val="20"/>
                <w:lang w:eastAsia="ru-RU"/>
              </w:rPr>
              <w:t>О ставках субсидий на финансовое обеспечение (возмещение) части затрат на проведение агротехнологических работ, повышения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</w:t>
            </w:r>
            <w:proofErr w:type="gramEnd"/>
            <w:r w:rsidR="00C73F62" w:rsidRPr="00C73F62">
              <w:rPr>
                <w:rFonts w:ascii="Times New Roman" w:hAnsi="Times New Roman"/>
                <w:sz w:val="20"/>
                <w:szCs w:val="20"/>
                <w:lang w:eastAsia="ru-RU"/>
              </w:rPr>
              <w:t>), кормовыми сельскохозяйственными культурами, на 2022 год</w:t>
            </w:r>
            <w:r w:rsidR="00C73F6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4129C0" w:rsidRPr="00F05DF3" w:rsidRDefault="004129C0" w:rsidP="00C73F6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66C4" w:rsidRPr="00B63369" w:rsidTr="00FB182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961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организатора</w:t>
            </w:r>
            <w:r w:rsidR="00C961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дополнительного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D49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1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Default="005666C4" w:rsidP="00D35F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республиканском бюджете Республики Марий Эл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Министерству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текущий финансовый год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цели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указанные в пункте 4 </w:t>
            </w:r>
            <w:r w:rsidR="00986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Правил.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DE45A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B63369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</w:t>
            </w:r>
            <w:proofErr w:type="gramEnd"/>
            <w:r w:rsidRPr="00B63369">
              <w:rPr>
                <w:rFonts w:ascii="Times New Roman" w:hAnsi="Times New Roman"/>
                <w:sz w:val="20"/>
                <w:szCs w:val="20"/>
              </w:rPr>
              <w:t>, ул. Кр</w:t>
            </w:r>
            <w:r>
              <w:rPr>
                <w:rFonts w:ascii="Times New Roman" w:hAnsi="Times New Roman"/>
                <w:sz w:val="20"/>
                <w:szCs w:val="20"/>
              </w:rPr>
              <w:t>асноармейская, д.41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A75348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6C6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033B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8A2946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Доменное имя сайта</w:t>
            </w:r>
            <w:r w:rsidR="005666C4"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«Интернет», на котором обеспечивается проведение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="005666C4"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7B5F30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 сельского хозяйств и продовольствия Республики Марий Эл (http://</w:t>
            </w:r>
            <w:r w:rsidR="007B5F30">
              <w:t xml:space="preserve"> </w:t>
            </w:r>
            <w:r w:rsidR="007B5F30" w:rsidRPr="007B5F30">
              <w:rPr>
                <w:rFonts w:ascii="Times New Roman" w:hAnsi="Times New Roman"/>
                <w:sz w:val="20"/>
                <w:szCs w:val="20"/>
                <w:lang w:eastAsia="ru-RU"/>
              </w:rPr>
              <w:t>https://mari-el.gov.ru/ministries/minselhoz/</w:t>
            </w:r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AB7C6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B7C61">
              <w:rPr>
                <w:rFonts w:ascii="Times New Roman" w:hAnsi="Times New Roman"/>
                <w:sz w:val="20"/>
                <w:szCs w:val="20"/>
              </w:rPr>
              <w:t>(раздел «Государственная поддержка агропромышленного комплекса»)</w:t>
            </w:r>
            <w:r w:rsidR="00DC77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B63369" w:rsidTr="0048544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8572C" w:rsidRDefault="0004557F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A2946"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95273"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>октября</w:t>
            </w:r>
            <w:r w:rsidR="005666C4"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5365EF"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- 8.00, обеденный перерыв с 12.00 до 13.00 </w:t>
            </w:r>
            <w:r w:rsidR="00DC7702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8572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7454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B8572C" w:rsidRDefault="005365EF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4557F"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666C4"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95273"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>октября</w:t>
            </w:r>
            <w:r w:rsidR="005666C4"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502F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- 17.00 (по московскому времени)</w:t>
            </w:r>
          </w:p>
          <w:p w:rsidR="005666C4" w:rsidRPr="00B8572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493E1A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 право </w:t>
            </w:r>
            <w:r w:rsidRPr="00235E54">
              <w:rPr>
                <w:rFonts w:ascii="Times New Roman" w:hAnsi="Times New Roman"/>
                <w:sz w:val="20"/>
                <w:szCs w:val="20"/>
              </w:rPr>
              <w:t>получения 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FE34D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B63369">
              <w:rPr>
                <w:rFonts w:ascii="Times New Roman" w:hAnsi="Times New Roman"/>
                <w:sz w:val="20"/>
                <w:szCs w:val="20"/>
              </w:rPr>
              <w:t>Йошкар</w:t>
            </w:r>
            <w:proofErr w:type="spellEnd"/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</w:t>
            </w:r>
            <w:proofErr w:type="gramEnd"/>
            <w:r w:rsidRPr="00B633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E34DE">
              <w:rPr>
                <w:rFonts w:ascii="Times New Roman" w:hAnsi="Times New Roman"/>
                <w:sz w:val="20"/>
                <w:szCs w:val="20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</w:rPr>
              <w:lastRenderedPageBreak/>
              <w:t>ул. Красноармейская, д.41, кабинет 3</w:t>
            </w:r>
            <w:r w:rsidR="005365EF">
              <w:rPr>
                <w:rFonts w:ascii="Times New Roman" w:hAnsi="Times New Roman"/>
                <w:sz w:val="20"/>
                <w:szCs w:val="20"/>
              </w:rPr>
              <w:t>19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отдел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поддержки, </w:t>
            </w:r>
            <w:r w:rsidR="00233A68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>
              <w:rPr>
                <w:rFonts w:ascii="Times New Roman" w:hAnsi="Times New Roman"/>
                <w:sz w:val="20"/>
                <w:szCs w:val="20"/>
              </w:rPr>
              <w:t>телефон 8(8362) 45-3</w:t>
            </w:r>
            <w:r w:rsidR="005365E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365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666C4" w:rsidRPr="00B63369" w:rsidTr="0046732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0650F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 по состоянию на первое число месяца, предшествующего месяцу, в котором планируется проведение</w:t>
            </w:r>
            <w:r w:rsidR="008A29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отбора, должен соответствовать следующим требованиям: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а) претендент должен состоять на учете в налоговом органе на территории Республики Марий Эл;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в) 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цели,</w:t>
            </w:r>
            <w:r w:rsidR="00837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72DF" w:rsidRPr="00837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указанные в пункте 4 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настоящих </w:t>
            </w:r>
            <w:r w:rsidR="008372DF" w:rsidRPr="008372DF">
              <w:rPr>
                <w:rFonts w:ascii="Times New Roman" w:hAnsi="Times New Roman"/>
                <w:sz w:val="20"/>
                <w:szCs w:val="20"/>
                <w:lang w:eastAsia="ru-RU"/>
              </w:rPr>
              <w:t>Правил</w:t>
            </w: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FB16FE" w:rsidRPr="00FB16FE" w:rsidRDefault="008A2946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FB16FE"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) претендент - юридическое лицо - 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претендент - индивидуальный предприниматель - не должен прекратить деятельность в качестве индивидуального предпринимателя;</w:t>
            </w:r>
            <w:proofErr w:type="gramEnd"/>
          </w:p>
          <w:p w:rsidR="00FB16FE" w:rsidRPr="00FB16FE" w:rsidRDefault="008A2946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FB16FE"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) 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      </w:r>
            <w:r w:rsidR="00155DA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FB16FE"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и предоставления информации при проведении финансовых операций (офшорные зоны</w:t>
            </w:r>
            <w:proofErr w:type="gramEnd"/>
            <w:r w:rsidR="00FB16FE"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), в совокупности превышает 50 процентов;</w:t>
            </w:r>
          </w:p>
          <w:p w:rsidR="00FB16FE" w:rsidRPr="00FB16FE" w:rsidRDefault="008A2946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FB16FE"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) претендент должен представлять в Министерство отчеты о финансово-экономическом состоянии по формам, утвержденным Министерством сельского хозяйства Российской Федерации: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FB16FE" w:rsidRPr="00FB16FE" w:rsidRDefault="00FB16FE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 - на дату обращения в Министерство для участия в отборе;</w:t>
            </w:r>
          </w:p>
          <w:p w:rsidR="00FB16FE" w:rsidRDefault="008A2946" w:rsidP="00FB16F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FB16FE"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 у претендента должны отсутствовать в году, предшествующем году получения субсидии, случаи привлечения к ответственности </w:t>
            </w:r>
            <w:r w:rsidR="00155DA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FB16FE" w:rsidRPr="00FB16FE">
              <w:rPr>
                <w:rFonts w:ascii="Times New Roman" w:hAnsi="Times New Roman"/>
                <w:sz w:val="20"/>
                <w:szCs w:val="20"/>
                <w:lang w:eastAsia="ru-RU"/>
              </w:rPr>
      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 сентября 2020 г. № 1479 «Об утверждении Правил противопожарного режима в Российской Федерации».</w:t>
            </w:r>
            <w:proofErr w:type="gramEnd"/>
          </w:p>
          <w:p w:rsidR="004718DE" w:rsidRDefault="004718DE" w:rsidP="00155DA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Критериями</w:t>
            </w:r>
            <w:r w:rsidR="008A29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 претендентов на получение субсидий являются:</w:t>
            </w: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а) наличие у претендента посевных площадей, занятых зерновыми, зернобобовыми, масличными (за исключением рапса и сои), кормовыми сельскохозяйственными культурами;</w:t>
            </w: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б) использование претендентом на посев при проведении агротехнологических работ сортовых и кондиционных семян;</w:t>
            </w:r>
          </w:p>
          <w:p w:rsid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в) обеспечение претендентом сохранения уровня посевных площадей, занятых зерновыми, зернобобовыми, масличными (за исключением рапса</w:t>
            </w:r>
            <w:r w:rsidR="008A294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и сои), кормовыми сельскохозяйственными культурами, в текущем финансовом году по отношению к уровню отчетного финансового года.</w:t>
            </w:r>
          </w:p>
          <w:p w:rsidR="004129C0" w:rsidRPr="00811C2B" w:rsidRDefault="004129C0" w:rsidP="00155DA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804AA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E369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AE369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E3693" w:rsidRDefault="007E7F7C" w:rsidP="0047785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Документы, представляемые</w:t>
            </w:r>
            <w:r w:rsidR="005666C4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r w:rsidR="004718DE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претендент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ом</w:t>
            </w:r>
            <w:r w:rsidR="004718DE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r w:rsidR="005666C4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для предоставления субсидии</w:t>
            </w:r>
            <w:r w:rsidR="001D7FB2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в 202</w:t>
            </w:r>
            <w:r w:rsidR="00155DA4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2</w:t>
            </w:r>
            <w:r w:rsidR="001D7FB2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году</w:t>
            </w:r>
            <w:r w:rsidR="005666C4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:</w:t>
            </w:r>
          </w:p>
          <w:p w:rsidR="00155DA4" w:rsidRPr="00AE3693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а) заявку по форме, утвержденной приказом Министерства;</w:t>
            </w:r>
          </w:p>
          <w:p w:rsidR="00155DA4" w:rsidRPr="00AE3693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б) выписку из Единого государственного реестра юридических лиц или 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lastRenderedPageBreak/>
              <w:t>выписку из Единого государственного реестра индивидуальных предпринимателей;</w:t>
            </w:r>
          </w:p>
          <w:p w:rsidR="00155DA4" w:rsidRPr="00AE3693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в) копию отчета по форме федерального статистического наблюдения</w:t>
            </w:r>
            <w:r w:rsidR="003C6861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br/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№ 4-СХ «Сведения об итогах сева под урожай» за отчетный календарный год (№ 1-фермер «Сведения об итогах сева под урожай» за отчетный календарный год), заверенную претендентом;</w:t>
            </w:r>
          </w:p>
          <w:p w:rsidR="00155DA4" w:rsidRPr="00AE3693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proofErr w:type="gram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г) сведения 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</w:t>
            </w:r>
            <w:r w:rsidR="00502FCC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br/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и (или) аренды, и (или) субаренды, по форме, утвержденной приказом Министерства;</w:t>
            </w:r>
            <w:proofErr w:type="gramEnd"/>
          </w:p>
          <w:p w:rsidR="00155DA4" w:rsidRPr="00AE3693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proofErr w:type="gram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д) сведения о плановом размере посевных площадей, занятых зерновыми, зернобобовыми, масличными (за исключением рапса и сои), кормовыми сельскохозяйственными культурами, на посев которых при проведении агротехнологических работ под урожай текущего финансового года будут использоваться сортовые и кондиционные семена зерновых, зернобобовых, масличных (за исключением рапса и сои), кормовых сельскохозяйственных культур, по форме, утвержденной приказом Министерства;</w:t>
            </w:r>
            <w:proofErr w:type="gramEnd"/>
          </w:p>
          <w:p w:rsidR="00155DA4" w:rsidRPr="00AE3693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proofErr w:type="gram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е) расчет размера субсидии из республиканского бюджета Республики Марий Эл на финансовое обеспечение (возмещение) части затрат</w:t>
            </w:r>
            <w:r w:rsidR="00502FCC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br/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культурами, по форме, утвержденной приказом Министерства.</w:t>
            </w:r>
            <w:proofErr w:type="gramEnd"/>
          </w:p>
          <w:p w:rsidR="00A43F2D" w:rsidRPr="00AE3693" w:rsidRDefault="008A2946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ж</w:t>
            </w:r>
            <w:r w:rsidR="00A43F2D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) копию отчета по форме федерального статистического наблюдения № 4-СХ «Сведения об итогах сева под урожай» за текущий календарный год (№ 1-фермер «Сведения об итогах сева под урожай» за текущий календарный год), заверенную получателем субсидии;</w:t>
            </w:r>
          </w:p>
          <w:p w:rsidR="007F6ACE" w:rsidRPr="00AE3693" w:rsidRDefault="008A2946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proofErr w:type="gram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з</w:t>
            </w:r>
            <w:r w:rsidR="00A43F2D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) отчет, подтверждающий фактические размеры посевных площадей, занятых зерновыми, зернобобовыми, масличными (за исключением рапса</w:t>
            </w:r>
            <w:r w:rsidR="00502FCC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br/>
            </w:r>
            <w:r w:rsidR="00A43F2D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и сои), кормовыми сельскохозяйственными культурами, на посев которых при проведении агротехнологических работ под урожай текущего финансового года использовались сортовые и кондиционные семена зерновых, зернобобовых, масличных (за исключением рапса и сои), кормовых сельскохозяйственных культур (с указанием сведений о размере посевных площадей, на которых проводились работы по </w:t>
            </w:r>
            <w:proofErr w:type="spellStart"/>
            <w:r w:rsidR="00A43F2D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фосфоритованию</w:t>
            </w:r>
            <w:proofErr w:type="spellEnd"/>
            <w:proofErr w:type="gramEnd"/>
            <w:r w:rsidR="00A43F2D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и (или) гипсованию, а также сведений о размере застрахованных посевных площадей), по форме, утвержденной приказом Министерства;</w:t>
            </w:r>
          </w:p>
          <w:p w:rsidR="0029021E" w:rsidRPr="00AE3693" w:rsidRDefault="0029021E" w:rsidP="0029021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proofErr w:type="gram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и) отчет о фактических расходах субсидии на финансовое обеспечение (возмещение)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засеянных сортовыми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br/>
              <w:t>и кондиционными семенами зерновых, зернобобовых, масличных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br/>
              <w:t>(за исключением рапса и сои), кормовых сельскохозяйственных культур под урожай текущего финансового года, по форме, утвержденной приказом Министерства;</w:t>
            </w:r>
            <w:proofErr w:type="gramEnd"/>
          </w:p>
          <w:p w:rsidR="00A43F2D" w:rsidRPr="00AE3693" w:rsidRDefault="00F453C3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к</w:t>
            </w:r>
            <w:r w:rsidR="00A43F2D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) документы, подтверждающие целевое использование субсидии:</w:t>
            </w:r>
          </w:p>
          <w:p w:rsidR="00A43F2D" w:rsidRPr="00AE3693" w:rsidRDefault="00A43F2D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копии договоров на приобретение товара, заверенные получателем субсидий (при наличии);</w:t>
            </w:r>
          </w:p>
          <w:p w:rsidR="00A43F2D" w:rsidRPr="00AE3693" w:rsidRDefault="00A43F2D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копии счетов на оплату по договорам, заверенные получателем субсидий (при наличии);</w:t>
            </w:r>
          </w:p>
          <w:p w:rsidR="00A43F2D" w:rsidRPr="00AE3693" w:rsidRDefault="00A43F2D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копии платежных документов по оплате товара за счет собственных средств сельскохозяйственного товаропроизводителя, заверенные получателем субсидий;</w:t>
            </w:r>
          </w:p>
          <w:p w:rsidR="00A43F2D" w:rsidRPr="00AE3693" w:rsidRDefault="00A43F2D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копии платежных поручений по перечислению субсидий с лицевого счета получателя субсидий, открытого в Управлении Федерального казначейства по Республике Марий Эл, на оплату товара, заверенные п</w:t>
            </w:r>
            <w:r w:rsidR="0029021E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олучателем субсидий</w:t>
            </w:r>
            <w:r w:rsidR="00F453C3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;</w:t>
            </w:r>
          </w:p>
          <w:p w:rsidR="00F453C3" w:rsidRPr="00AE3693" w:rsidRDefault="00F453C3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копии товарных накладных и (или) универсальных передаточных 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lastRenderedPageBreak/>
              <w:t>документов, заверенные получателем субсидий;</w:t>
            </w:r>
          </w:p>
          <w:p w:rsidR="00F453C3" w:rsidRPr="00AE3693" w:rsidRDefault="00F453C3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при проведении работ по </w:t>
            </w:r>
            <w:proofErr w:type="spell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фосфоритованию</w:t>
            </w:r>
            <w:proofErr w:type="spellEnd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и (или) гипсованию на посевных площадях под зерновыми, зернобобовыми, масличными (за исключением рапса и сои), кормовыми сельскохозяйственными культурами </w:t>
            </w:r>
            <w:r w:rsidRPr="00AE3693">
              <w:rPr>
                <w:rFonts w:ascii="Times New Roman" w:hAnsi="Times New Roman"/>
                <w:b/>
                <w:sz w:val="20"/>
                <w:szCs w:val="20"/>
                <w:highlight w:val="cyan"/>
                <w:lang w:eastAsia="ru-RU"/>
              </w:rPr>
              <w:t>хозяйственным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способом - копии проектно-сметной документации, акта о приемке выполненных работ</w:t>
            </w:r>
            <w:r w:rsidR="00DB4A22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по </w:t>
            </w:r>
            <w:proofErr w:type="spellStart"/>
            <w:r w:rsidR="00DB4A22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фосфоритованию</w:t>
            </w:r>
            <w:proofErr w:type="spellEnd"/>
            <w:r w:rsidR="00DB4A22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и (или) гипсованию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с указанием стоимости работ, заверенные получателем субсидии;</w:t>
            </w:r>
          </w:p>
          <w:p w:rsidR="005F38E7" w:rsidRPr="00AE3693" w:rsidRDefault="005F38E7" w:rsidP="005F38E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proofErr w:type="gram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при проведении работ по </w:t>
            </w:r>
            <w:proofErr w:type="spell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фосфоритованию</w:t>
            </w:r>
            <w:proofErr w:type="spellEnd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и (или) гипсованию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br/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на посевных площадях под зерновыми, зернобобовыми, масличными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br/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(за исключением рапса и сои), кормовыми сельскохозяйственными культурами </w:t>
            </w:r>
            <w:r w:rsidRPr="00AE3693">
              <w:rPr>
                <w:rFonts w:ascii="Times New Roman" w:hAnsi="Times New Roman"/>
                <w:b/>
                <w:sz w:val="20"/>
                <w:szCs w:val="20"/>
                <w:highlight w:val="cyan"/>
                <w:lang w:eastAsia="ru-RU"/>
              </w:rPr>
              <w:t>подрядным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способом - копии проектной документации, договора на проведение работ (оказание услуг) по </w:t>
            </w:r>
            <w:proofErr w:type="spell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фосфоритованию</w:t>
            </w:r>
            <w:proofErr w:type="spellEnd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br/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и (или) гипсованию, акта выполненных работ (услуг), платежных документов, подтверждающих оплату выполненных работ (услуг), заверенные получателем субсидии;</w:t>
            </w:r>
            <w:proofErr w:type="gramEnd"/>
          </w:p>
          <w:p w:rsidR="00DB4A22" w:rsidRPr="00AE3693" w:rsidRDefault="00DB4A22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при страховании сельскохозяйственных культур </w:t>
            </w:r>
            <w:proofErr w:type="gram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–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</w:rPr>
              <w:t>к</w:t>
            </w:r>
            <w:proofErr w:type="gramEnd"/>
            <w:r w:rsidRPr="00AE3693">
              <w:rPr>
                <w:rFonts w:ascii="Times New Roman" w:hAnsi="Times New Roman"/>
                <w:sz w:val="20"/>
                <w:szCs w:val="20"/>
                <w:highlight w:val="cyan"/>
              </w:rPr>
              <w:t>опии договора страхования сельскохозяйственных культур, копии платежных документов на уплату страховых взносов, заверенные получателем субсидии</w:t>
            </w:r>
          </w:p>
          <w:p w:rsidR="0029021E" w:rsidRPr="00AE3693" w:rsidRDefault="0029021E" w:rsidP="00A43F2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Документы, указанные в подпунктах «в</w:t>
            </w:r>
            <w:r w:rsidR="00D06DB6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»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–</w:t>
            </w:r>
            <w:r w:rsidR="00D06DB6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«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г</w:t>
            </w:r>
            <w:r w:rsidR="00D06DB6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»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, </w:t>
            </w:r>
            <w:r w:rsidR="00D06DB6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«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ж</w:t>
            </w:r>
            <w:r w:rsidR="00D06DB6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»</w:t>
            </w:r>
            <w:r w:rsidR="00F453C3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–</w:t>
            </w:r>
            <w:r w:rsidR="00D06DB6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«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з</w:t>
            </w:r>
            <w:r w:rsidR="00D06DB6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»</w:t>
            </w:r>
            <w:r w:rsidR="00F453C3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, </w:t>
            </w:r>
            <w:r w:rsidR="00D06DB6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«</w:t>
            </w:r>
            <w:r w:rsidR="00F453C3"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к», представленные претендентами по дополнительному отбору из числа получателей субсидий, прошедших основной отбор, повторно не представляются</w:t>
            </w:r>
          </w:p>
          <w:p w:rsidR="00155DA4" w:rsidRPr="00AE3693" w:rsidRDefault="00155DA4" w:rsidP="00155DA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Ответственность за достоверность сведений, содержащихся </w:t>
            </w: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br/>
              <w:t>в документах, представленных претендентами в Министерство, возлагается на претендентов.</w:t>
            </w:r>
          </w:p>
          <w:p w:rsidR="005666C4" w:rsidRPr="00AE3693" w:rsidRDefault="005666C4" w:rsidP="00B45DCB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</w:t>
            </w:r>
            <w:proofErr w:type="gramStart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>скан-копии</w:t>
            </w:r>
            <w:proofErr w:type="gramEnd"/>
            <w:r w:rsidRPr="00AE3693"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  <w:t xml:space="preserve"> документов должны быть читаемы.</w:t>
            </w:r>
          </w:p>
          <w:p w:rsidR="005666C4" w:rsidRPr="00AE369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bookmarkStart w:id="0" w:name="_GoBack"/>
            <w:bookmarkEnd w:id="0"/>
          </w:p>
        </w:tc>
      </w:tr>
      <w:tr w:rsidR="005666C4" w:rsidRPr="00AC12D7" w:rsidTr="00D7456A">
        <w:trPr>
          <w:trHeight w:val="27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Порядок подачи заявок претендентами и требования, предъявляемые к форме и содержанию заявок,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0CA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подачи заявок претендентами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 пунктом </w:t>
            </w:r>
            <w:r w:rsidR="00DB4A2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r w:rsidR="007530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530CA" w:rsidRPr="007530CA" w:rsidRDefault="007530CA" w:rsidP="007530C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Дополнительный отбор проводится Министерством на основании заявок и документов, указанных в подпунктах «а» - «г» и «е» пункта 11, подпунктах «а», «б» и «г» пункта 34 Правил, предоставляемых претендентами - товаропроизводителями из числа получателей субсидий, прошедших отбор в соответствии с пунктами 7 - 16 Правил (далее - основной отбор) и получивших субсидии в текущем финансовом году, и товаропроизводителями, не участвовавшими в основном отборе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текущем финансовом году (далее - претенденты по дополнительному отбору), исходя из их соответствия категории, установленной подпунктом «а» пункта 3 Правил, требованиям, определенным пунктом 9 Правил, критериям отбора, установленным пунктом 10 Правил, и очередности поступления заявок на участие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в дополнительном отборе.</w:t>
            </w:r>
            <w:proofErr w:type="gramEnd"/>
          </w:p>
          <w:p w:rsidR="007530CA" w:rsidRPr="007530CA" w:rsidRDefault="007530CA" w:rsidP="007530C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срока приема заявок претендентов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по дополнительному отбору, установленного в объявлении о проведении дополнительного отбора, осуществляет прием заявок и документов, указанных в подпунктах «а» - «г» и «е» пункта 11 Правил, подпунктах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«а», «б» и «г» пункта 34 Правил, представляемых претендентами по дополнительному отбору, регистрирует заявки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и приложенные к ним документы в день их поступления.</w:t>
            </w:r>
            <w:proofErr w:type="gramEnd"/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Регистрация заявок и приложенных к ним документов претендентов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по дополнительному отбору осуществляется в порядке их поступления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даты и порядкового номера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в журнале регистрации.</w:t>
            </w:r>
          </w:p>
          <w:p w:rsidR="007530CA" w:rsidRDefault="007530CA" w:rsidP="007530C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Ответственность за достоверность сведений, содержащихся в заявке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30CA">
              <w:rPr>
                <w:rFonts w:ascii="Times New Roman" w:hAnsi="Times New Roman"/>
                <w:sz w:val="20"/>
                <w:szCs w:val="20"/>
                <w:lang w:eastAsia="ru-RU"/>
              </w:rPr>
              <w:t>и документах, указанных в настоящем пункте, возлагается на получателей субсидий.</w:t>
            </w:r>
          </w:p>
          <w:p w:rsidR="00795EBB" w:rsidRPr="00795EBB" w:rsidRDefault="00795EBB" w:rsidP="007530C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орядок отзыва заявок претендентов, порядок возврата заявок претендентов, </w:t>
            </w:r>
            <w:proofErr w:type="gramStart"/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определяющий</w:t>
            </w:r>
            <w:proofErr w:type="gramEnd"/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Pr="00AC12D7" w:rsidRDefault="005666C4" w:rsidP="001B18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рассмотрения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представивший заявку и прилагаемые документы на участие в </w:t>
            </w:r>
            <w:r w:rsidR="00A43F2D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дополнительном отборе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может отозвать заявку до окончания срока подачи заявок, установленного настоящим объявлением, направив заявление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в адрес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хозяйства и продовольствия Республики Марий Эл. Внесение изменений в заявку, поданную претендентом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не допускается.</w:t>
            </w:r>
          </w:p>
          <w:p w:rsidR="00795EBB" w:rsidRDefault="00795EBB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равила рассмотрения заявок претендентов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установлены пунктом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7530CA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Правил.</w:t>
            </w:r>
          </w:p>
          <w:p w:rsid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Решения о допуске претендентов к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дополнительному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отбору или решения об отклонении заявок претендентов оформляются приказом Министерства в день их принятия.</w:t>
            </w:r>
          </w:p>
          <w:p w:rsidR="00795EBB" w:rsidRPr="002A2DAC" w:rsidRDefault="00795EBB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предоставления претендентам разъяснений положений объявления о проведении</w:t>
            </w:r>
            <w:r w:rsidR="00753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отбора, даты начала и окончания срока их предоставления;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положений настоящего объявления осуществляется Министерством на основании письменных обращений участников</w:t>
            </w:r>
            <w:r w:rsidR="007530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отбора, направленных с даты начала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 и не </w:t>
            </w:r>
            <w:proofErr w:type="gramStart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чем за 7 рабочих дней до дня окончания подачи заявок на участие в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дополнительном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отборе. </w:t>
            </w:r>
          </w:p>
          <w:p w:rsidR="005666C4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запросы о разъяснении положений проведения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 предоставляются участникам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 в течение 10 рабочих дней со дня поступления запроса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в Министерство. Разъяснение положений проведения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>допролнительного</w:t>
            </w:r>
            <w:proofErr w:type="spellEnd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 не должно изменять его суть.</w:t>
            </w:r>
          </w:p>
          <w:p w:rsidR="00795EBB" w:rsidRPr="00132698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 являются: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а) несоответствие претендента категории товаропроизводителей, установленной подпунктом «а» пункта 3 Правил;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б) несоответствие претендента требованиям, установленным пунктом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9 Правил;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в) несоответствие заявки форме и содержанию, указанным в подпункте «а» пункта 11 Правил и в объявлении о проведении отбора;</w:t>
            </w:r>
          </w:p>
          <w:p w:rsidR="00E51D21" w:rsidRP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г) недостоверность сведений, содержащихся в заявке, в том числе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о месте нахождения и адресе претендента - юридического лица;</w:t>
            </w:r>
          </w:p>
          <w:p w:rsidR="00E51D21" w:rsidRDefault="00E51D21" w:rsidP="00E51D2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д) представление заявок и документов, указанных в пункте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11 Правил, после даты и (или) времени, определенных для подачи заявок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>в объявлении о проведении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E51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</w:t>
            </w:r>
          </w:p>
          <w:p w:rsidR="005666C4" w:rsidRPr="008C3473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об отказе </w:t>
            </w: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а) несоответствие документов участника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 критериям отбора, установленным пунктом 10</w:t>
            </w:r>
            <w:r w:rsidR="009862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Правил;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б) несоответствие представленных участником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 документов требованиям к формам документов, установленным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в подпунктах «г» - «е» пункта 11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>, подпунктах «а», «б» и «г» пункта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в) непредставление (представление не в полном объеме) документов, указанных в подпунктах «б» - «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«е»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11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>, подпунктах «а», «б»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>и «г» пункта 34 Правил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г) недостоверность сведений, содержащихся в документах, указанных в подпунктах «б» - «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EE16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«е»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11</w:t>
            </w:r>
            <w:r w:rsidR="00842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подпунктах «а», «б» и «г» </w:t>
            </w:r>
            <w:r w:rsidR="00842E7D" w:rsidRPr="00842E7D">
              <w:rPr>
                <w:rFonts w:ascii="Times New Roman" w:hAnsi="Times New Roman"/>
                <w:sz w:val="20"/>
                <w:szCs w:val="20"/>
                <w:lang w:eastAsia="ru-RU"/>
              </w:rPr>
              <w:t>пункта</w:t>
            </w:r>
            <w:r w:rsidR="001B18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842E7D" w:rsidRPr="00842E7D">
              <w:rPr>
                <w:rFonts w:ascii="Times New Roman" w:hAnsi="Times New Roman"/>
                <w:sz w:val="20"/>
                <w:szCs w:val="20"/>
                <w:lang w:eastAsia="ru-RU"/>
              </w:rPr>
              <w:t>34 Правил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5666C4" w:rsidRPr="00132698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рок, в течение которого победитель (победители)</w:t>
            </w:r>
            <w:r w:rsidR="00842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4" w:rsidRPr="00F36884" w:rsidRDefault="00F36884" w:rsidP="00F3688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884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5 рабочих дней со дня принятия решения о предоставлении субсидии заключает с победителями дополнительного отбора соглашения о предоставлении субсидий (с победителями дополнительного отбора, участвовавшими в основном отборе - дополнительные соглашения к соглашениям о предоставлении субсидий) в соответствии с типовыми формами, установленными Министерством финансов Российской Федерации, в системе «Электронный бюджет».</w:t>
            </w:r>
            <w:proofErr w:type="gramEnd"/>
          </w:p>
          <w:p w:rsidR="00F36884" w:rsidRPr="00F36884" w:rsidRDefault="00F36884" w:rsidP="00F3688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884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Соглашения о предоставлении субсидий должны содержать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      </w:r>
          </w:p>
          <w:p w:rsidR="00F36884" w:rsidRPr="00F36884" w:rsidRDefault="00F36884" w:rsidP="00F3688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8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F36884">
              <w:rPr>
                <w:rFonts w:ascii="Times New Roman" w:hAnsi="Times New Roman"/>
                <w:sz w:val="20"/>
                <w:szCs w:val="20"/>
                <w:lang w:eastAsia="ru-RU"/>
              </w:rPr>
              <w:t>неподписания</w:t>
            </w:r>
            <w:proofErr w:type="spellEnd"/>
            <w:r w:rsidRPr="00F368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победителями дополнительного отбора соглашений о предоставлении субсидий (с победителями дополнительного отбора, участвовавшими в основном отборе - дополнительные соглашения к соглашениям о предоставлении субсидий) в срок, предусмотренный абзацем первым настоящего пункта, победители дополнительного отбора признаются уклонившимися от заключения соглашений о предоставлении субсидий (дополнительных соглашений к соглашениям о предоставлении </w:t>
            </w:r>
            <w:r w:rsidRPr="00F3688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субсидий).</w:t>
            </w:r>
          </w:p>
          <w:p w:rsidR="00AA52D8" w:rsidRDefault="00F36884" w:rsidP="00F3688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884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необходимости внесения в соглашения о предоставлении субсидий (дополнительные соглашения к соглашениям о предоставлении субсидий) изменений в части изменения реквизитов сторон, исправления технических ошибок Министерство в срок, не превышающий 10 рабочих дней со дня принятия решений о предоставлении субсидий, заключает с победителями дополнительного отбора дополнительные соглашения к данным соглашениям.</w:t>
            </w:r>
          </w:p>
          <w:p w:rsidR="005666C4" w:rsidRPr="00C670C0" w:rsidRDefault="005666C4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словия признания победителя (победителей)</w:t>
            </w:r>
            <w:r w:rsidR="00F3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отбора </w:t>
            </w:r>
            <w:proofErr w:type="gramStart"/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заключения соглашения о предоставлении субсидии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165697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неподписания</w:t>
            </w:r>
            <w:proofErr w:type="spellEnd"/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победителями отбора соглашений о предоставлении субсидии в течение 5 рабочих дней со дня принятия решения о предоставлении субсидии, победители отбора признаются уклонившимися от заключения соглашения о предоставлении субсидии</w:t>
            </w:r>
            <w:r w:rsidR="005666C4"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16569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 размещения результатов</w:t>
            </w:r>
            <w:r w:rsidR="00F3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отбора на сайте Министерства сельского хозяйства и продовольствия Республики Марий Эл.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не позднее 14-го календарного дня, следующего за днем принятия решения о предоставлении субсидии, размещает на сайте Министерства информацию о результатах</w:t>
            </w:r>
            <w:r w:rsidR="00F368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отбора, включающую следующие сведения: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претендентах, заявки которых были рассмотрены;</w:t>
            </w:r>
          </w:p>
          <w:p w:rsidR="00AA52D8" w:rsidRP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претендентах, заявки которых были отклонены,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причин их отклонения, в том числе положений объявления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о проведении</w:t>
            </w:r>
            <w:r w:rsidR="00F368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дополнительного</w:t>
            </w: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отбора, которым не соответствуют такие заявки;</w:t>
            </w:r>
          </w:p>
          <w:p w:rsidR="00AA52D8" w:rsidRDefault="00AA52D8" w:rsidP="00AA52D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52D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получателей субсидий, с которыми заключены соглашения о предоставлении субсидий, и размер предоставляемых им субсидий.</w:t>
            </w:r>
          </w:p>
          <w:p w:rsidR="005666C4" w:rsidRPr="007C6CA6" w:rsidRDefault="005666C4" w:rsidP="00082163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F27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7C6CA6" w:rsidRDefault="001B1898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7F0BEF" w:rsidRDefault="005666C4" w:rsidP="0041417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льтатом предоставления субсидии </w:t>
            </w: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является - размер посевных площадей, занятых зерновыми, зернобобовыми, масличными </w:t>
            </w:r>
            <w:r w:rsidR="00716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исключением рапса и сои) и кормовыми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ельскохозяйственными культурами</w:t>
            </w:r>
            <w:r w:rsidR="000821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(гектаров)</w:t>
            </w:r>
            <w:r w:rsidR="00C83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B63369" w:rsidRDefault="005666C4" w:rsidP="005666C4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6874" w:rsidTr="00A128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162926" w:rsidRDefault="005666C4" w:rsidP="000A7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926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условий, целей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C35">
              <w:rPr>
                <w:rFonts w:ascii="Times New Roman" w:hAnsi="Times New Roman"/>
                <w:sz w:val="20"/>
                <w:szCs w:val="20"/>
              </w:rPr>
              <w:t>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A7C35">
              <w:rPr>
                <w:rFonts w:ascii="Times New Roman" w:hAnsi="Times New Roman"/>
                <w:sz w:val="20"/>
                <w:szCs w:val="20"/>
              </w:rPr>
              <w:t>в соответствии со статьями 268.1 и 269.2 Бюджетного кодекса Российской Федерации осуществляется органами государственного финансового контроля.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случае если получателем субсидии нарушены условия предоставления субсидии (нецелевое использование субсидии),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основания возврата.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средства: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если субсидия предоставлена получателю субсидии в предыдущие финансовые годы, - в доход республиканского бюджета Республики Марий Эл;</w:t>
            </w:r>
          </w:p>
          <w:p w:rsidR="003315D9" w:rsidRPr="003315D9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D9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если субсидия предоставлена получателю субсидии в текущем финансовом году, - на лицевой счет Министерства.</w:t>
            </w:r>
          </w:p>
          <w:p w:rsidR="00162926" w:rsidRDefault="003315D9" w:rsidP="003315D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в течение 10 рабочих дней со дня выявления факта нарушения направляет получателю субсидии требование об обеспечении возврата объема средств за </w:t>
            </w:r>
            <w:proofErr w:type="spellStart"/>
            <w:r w:rsidRPr="003315D9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3315D9">
              <w:rPr>
                <w:rFonts w:ascii="Times New Roman" w:hAnsi="Times New Roman"/>
                <w:sz w:val="20"/>
                <w:szCs w:val="20"/>
              </w:rPr>
              <w:t xml:space="preserve"> значения результата предоставления субсидии за отчетный финансовый год.</w:t>
            </w:r>
            <w:proofErr w:type="gramEnd"/>
          </w:p>
          <w:p w:rsidR="00331515" w:rsidRPr="00331515" w:rsidRDefault="00331515" w:rsidP="0033151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15">
              <w:rPr>
                <w:rFonts w:ascii="Times New Roman" w:hAnsi="Times New Roman"/>
                <w:sz w:val="20"/>
                <w:szCs w:val="20"/>
              </w:rPr>
              <w:t xml:space="preserve">Получатель субсидии осуществляет добровольный возврат субсидии за </w:t>
            </w:r>
            <w:proofErr w:type="spellStart"/>
            <w:r w:rsidRPr="00331515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331515">
              <w:rPr>
                <w:rFonts w:ascii="Times New Roman" w:hAnsi="Times New Roman"/>
                <w:sz w:val="20"/>
                <w:szCs w:val="20"/>
              </w:rPr>
              <w:t xml:space="preserve"> значения результата предоставления субсидии за отчетный финансовый год в доход республиканского бюджета Республики Марий Эл </w:t>
            </w:r>
            <w:r w:rsidRPr="003315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30 календарных дней после дня получения требования об обеспечении возврата объема средств за </w:t>
            </w:r>
            <w:proofErr w:type="spellStart"/>
            <w:r w:rsidRPr="00331515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331515">
              <w:rPr>
                <w:rFonts w:ascii="Times New Roman" w:hAnsi="Times New Roman"/>
                <w:sz w:val="20"/>
                <w:szCs w:val="20"/>
              </w:rPr>
              <w:t xml:space="preserve"> значения результата предоставления субсидии за отчетный финансовый год.</w:t>
            </w:r>
          </w:p>
          <w:p w:rsidR="00331515" w:rsidRPr="00331515" w:rsidRDefault="00331515" w:rsidP="0033151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15">
              <w:rPr>
                <w:rFonts w:ascii="Times New Roman" w:hAnsi="Times New Roman"/>
                <w:sz w:val="20"/>
                <w:szCs w:val="20"/>
              </w:rPr>
              <w:t xml:space="preserve">Основаниями для освобождения получателя субсидии от применения мер ответственности за </w:t>
            </w:r>
            <w:proofErr w:type="spellStart"/>
            <w:r w:rsidRPr="00331515">
              <w:rPr>
                <w:rFonts w:ascii="Times New Roman" w:hAnsi="Times New Roman"/>
                <w:sz w:val="20"/>
                <w:szCs w:val="20"/>
              </w:rPr>
              <w:t>недостижение</w:t>
            </w:r>
            <w:proofErr w:type="spellEnd"/>
            <w:r w:rsidRPr="00331515">
              <w:rPr>
                <w:rFonts w:ascii="Times New Roman" w:hAnsi="Times New Roman"/>
                <w:sz w:val="20"/>
                <w:szCs w:val="20"/>
              </w:rPr>
              <w:t xml:space="preserve"> значения результата предоставления субсидии за отчетный финансовый год является документально подтвержденное наступление хотя бы одного из следующих обстоятельств непреодолимой силы, препятствующих достижению получателем субсидии результата предоставления субсидии: </w:t>
            </w:r>
          </w:p>
          <w:p w:rsidR="00331515" w:rsidRPr="00331515" w:rsidRDefault="00331515" w:rsidP="0033151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15">
              <w:rPr>
                <w:rFonts w:ascii="Times New Roman" w:hAnsi="Times New Roman"/>
                <w:sz w:val="20"/>
                <w:szCs w:val="20"/>
              </w:rPr>
      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      </w:r>
          </w:p>
          <w:p w:rsidR="00331515" w:rsidRPr="00331515" w:rsidRDefault="00331515" w:rsidP="0033151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15">
              <w:rPr>
                <w:rFonts w:ascii="Times New Roman" w:hAnsi="Times New Roman"/>
                <w:sz w:val="20"/>
                <w:szCs w:val="20"/>
              </w:rPr>
      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Республики Марий Эл и (или) органа местного самоуправления.</w:t>
            </w:r>
          </w:p>
          <w:p w:rsidR="00331515" w:rsidRDefault="00331515" w:rsidP="0033151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515">
              <w:rPr>
                <w:rFonts w:ascii="Times New Roman" w:hAnsi="Times New Roman"/>
                <w:sz w:val="20"/>
                <w:szCs w:val="20"/>
              </w:rPr>
              <w:t>В случае нарушения срока, установленного для возврата средств, и (или) отказа получателя субсидии произвести возврат сре</w:t>
            </w:r>
            <w:proofErr w:type="gramStart"/>
            <w:r w:rsidRPr="00331515">
              <w:rPr>
                <w:rFonts w:ascii="Times New Roman" w:hAnsi="Times New Roman"/>
                <w:sz w:val="20"/>
                <w:szCs w:val="20"/>
              </w:rPr>
              <w:t>дств в д</w:t>
            </w:r>
            <w:proofErr w:type="gramEnd"/>
            <w:r w:rsidRPr="00331515">
              <w:rPr>
                <w:rFonts w:ascii="Times New Roman" w:hAnsi="Times New Roman"/>
                <w:sz w:val="20"/>
                <w:szCs w:val="20"/>
              </w:rPr>
              <w:t>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      </w:r>
          </w:p>
          <w:p w:rsidR="005666C4" w:rsidRPr="00162926" w:rsidRDefault="005666C4" w:rsidP="007E4D71">
            <w:pPr>
              <w:widowControl w:val="0"/>
              <w:autoSpaceDE w:val="0"/>
              <w:autoSpaceDN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502FCC" w:rsidRPr="00AC6874" w:rsidRDefault="00502FCC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502FCC">
      <w:headerReference w:type="default" r:id="rId14"/>
      <w:pgSz w:w="11906" w:h="16838"/>
      <w:pgMar w:top="1134" w:right="510" w:bottom="993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66" w:rsidRDefault="00B44A66" w:rsidP="0017721A">
      <w:pPr>
        <w:spacing w:after="0" w:line="240" w:lineRule="auto"/>
      </w:pPr>
      <w:r>
        <w:separator/>
      </w:r>
    </w:p>
  </w:endnote>
  <w:endnote w:type="continuationSeparator" w:id="0">
    <w:p w:rsidR="00B44A66" w:rsidRDefault="00B44A66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66" w:rsidRDefault="00B44A66" w:rsidP="0017721A">
      <w:pPr>
        <w:spacing w:after="0" w:line="240" w:lineRule="auto"/>
      </w:pPr>
      <w:r>
        <w:separator/>
      </w:r>
    </w:p>
  </w:footnote>
  <w:footnote w:type="continuationSeparator" w:id="0">
    <w:p w:rsidR="00B44A66" w:rsidRDefault="00B44A66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E3693">
      <w:rPr>
        <w:noProof/>
      </w:rPr>
      <w:t>2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8"/>
    <w:rsid w:val="000071CD"/>
    <w:rsid w:val="00012C3E"/>
    <w:rsid w:val="00021255"/>
    <w:rsid w:val="00021349"/>
    <w:rsid w:val="00024B3B"/>
    <w:rsid w:val="00026E98"/>
    <w:rsid w:val="00032A2B"/>
    <w:rsid w:val="00033AE9"/>
    <w:rsid w:val="000362A0"/>
    <w:rsid w:val="00041110"/>
    <w:rsid w:val="000411AC"/>
    <w:rsid w:val="000419E4"/>
    <w:rsid w:val="00042ECB"/>
    <w:rsid w:val="00042ED5"/>
    <w:rsid w:val="00044DD0"/>
    <w:rsid w:val="0004557F"/>
    <w:rsid w:val="000524D5"/>
    <w:rsid w:val="00055CD9"/>
    <w:rsid w:val="000578FE"/>
    <w:rsid w:val="000605E0"/>
    <w:rsid w:val="0006111B"/>
    <w:rsid w:val="00061BCA"/>
    <w:rsid w:val="00062BAB"/>
    <w:rsid w:val="00062BEE"/>
    <w:rsid w:val="000650FD"/>
    <w:rsid w:val="0006721F"/>
    <w:rsid w:val="000729E1"/>
    <w:rsid w:val="00072F8C"/>
    <w:rsid w:val="000752B8"/>
    <w:rsid w:val="0008086D"/>
    <w:rsid w:val="00082163"/>
    <w:rsid w:val="00090B25"/>
    <w:rsid w:val="000A5E60"/>
    <w:rsid w:val="000A7C35"/>
    <w:rsid w:val="000A7C8D"/>
    <w:rsid w:val="000B1983"/>
    <w:rsid w:val="000B1BF1"/>
    <w:rsid w:val="000B42A2"/>
    <w:rsid w:val="000C3BF8"/>
    <w:rsid w:val="000D7E82"/>
    <w:rsid w:val="000E1275"/>
    <w:rsid w:val="000E2AF6"/>
    <w:rsid w:val="000F3481"/>
    <w:rsid w:val="00105B09"/>
    <w:rsid w:val="00105C90"/>
    <w:rsid w:val="001101C5"/>
    <w:rsid w:val="00110E95"/>
    <w:rsid w:val="001127FB"/>
    <w:rsid w:val="001254C3"/>
    <w:rsid w:val="001263D8"/>
    <w:rsid w:val="00131E71"/>
    <w:rsid w:val="00132698"/>
    <w:rsid w:val="00136A1D"/>
    <w:rsid w:val="00153218"/>
    <w:rsid w:val="00154619"/>
    <w:rsid w:val="00155DA4"/>
    <w:rsid w:val="001601C0"/>
    <w:rsid w:val="00162926"/>
    <w:rsid w:val="00165697"/>
    <w:rsid w:val="00165F78"/>
    <w:rsid w:val="00170C4B"/>
    <w:rsid w:val="00172247"/>
    <w:rsid w:val="00172708"/>
    <w:rsid w:val="00175508"/>
    <w:rsid w:val="0017721A"/>
    <w:rsid w:val="00180F9F"/>
    <w:rsid w:val="00181B35"/>
    <w:rsid w:val="001963D4"/>
    <w:rsid w:val="001A14F9"/>
    <w:rsid w:val="001A2580"/>
    <w:rsid w:val="001A2ED8"/>
    <w:rsid w:val="001B1898"/>
    <w:rsid w:val="001C1701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200DCD"/>
    <w:rsid w:val="00203E24"/>
    <w:rsid w:val="002121DB"/>
    <w:rsid w:val="00216C61"/>
    <w:rsid w:val="00217FF2"/>
    <w:rsid w:val="002220EF"/>
    <w:rsid w:val="0022605C"/>
    <w:rsid w:val="00227980"/>
    <w:rsid w:val="00233A68"/>
    <w:rsid w:val="00235092"/>
    <w:rsid w:val="00235E54"/>
    <w:rsid w:val="00240EF9"/>
    <w:rsid w:val="0024132E"/>
    <w:rsid w:val="002418CB"/>
    <w:rsid w:val="00250BFE"/>
    <w:rsid w:val="002562CD"/>
    <w:rsid w:val="00256C97"/>
    <w:rsid w:val="0027177F"/>
    <w:rsid w:val="002747E7"/>
    <w:rsid w:val="002829B2"/>
    <w:rsid w:val="00283D05"/>
    <w:rsid w:val="0028772A"/>
    <w:rsid w:val="0029021E"/>
    <w:rsid w:val="0029434C"/>
    <w:rsid w:val="002A06D0"/>
    <w:rsid w:val="002A27EC"/>
    <w:rsid w:val="002A2DAC"/>
    <w:rsid w:val="002A3C07"/>
    <w:rsid w:val="002A4FCB"/>
    <w:rsid w:val="002A5DBA"/>
    <w:rsid w:val="002B11C0"/>
    <w:rsid w:val="002C4622"/>
    <w:rsid w:val="002C7A5F"/>
    <w:rsid w:val="002D484F"/>
    <w:rsid w:val="002D6E29"/>
    <w:rsid w:val="002E3646"/>
    <w:rsid w:val="002E4513"/>
    <w:rsid w:val="002F231A"/>
    <w:rsid w:val="002F3E40"/>
    <w:rsid w:val="00300AFB"/>
    <w:rsid w:val="00305DE9"/>
    <w:rsid w:val="00313852"/>
    <w:rsid w:val="00313E53"/>
    <w:rsid w:val="00314A3D"/>
    <w:rsid w:val="00320813"/>
    <w:rsid w:val="00330501"/>
    <w:rsid w:val="00331515"/>
    <w:rsid w:val="003315D9"/>
    <w:rsid w:val="00333986"/>
    <w:rsid w:val="0035687B"/>
    <w:rsid w:val="00356A8A"/>
    <w:rsid w:val="00357E9A"/>
    <w:rsid w:val="0036132D"/>
    <w:rsid w:val="00372D39"/>
    <w:rsid w:val="0037573A"/>
    <w:rsid w:val="00383E84"/>
    <w:rsid w:val="00390B31"/>
    <w:rsid w:val="00394137"/>
    <w:rsid w:val="00397AD5"/>
    <w:rsid w:val="003A3C80"/>
    <w:rsid w:val="003A47F0"/>
    <w:rsid w:val="003A7065"/>
    <w:rsid w:val="003B3C45"/>
    <w:rsid w:val="003C0346"/>
    <w:rsid w:val="003C1F85"/>
    <w:rsid w:val="003C6861"/>
    <w:rsid w:val="003C7FAA"/>
    <w:rsid w:val="003D2376"/>
    <w:rsid w:val="003D2CE3"/>
    <w:rsid w:val="003D449A"/>
    <w:rsid w:val="003D5D47"/>
    <w:rsid w:val="003E40E8"/>
    <w:rsid w:val="003E5B47"/>
    <w:rsid w:val="003F720B"/>
    <w:rsid w:val="00402D20"/>
    <w:rsid w:val="00405FB0"/>
    <w:rsid w:val="004129C0"/>
    <w:rsid w:val="004131B9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411FA"/>
    <w:rsid w:val="00441B32"/>
    <w:rsid w:val="00442813"/>
    <w:rsid w:val="00453DFB"/>
    <w:rsid w:val="00455FFF"/>
    <w:rsid w:val="00464B7B"/>
    <w:rsid w:val="00466F37"/>
    <w:rsid w:val="004709AC"/>
    <w:rsid w:val="00470D73"/>
    <w:rsid w:val="00470F53"/>
    <w:rsid w:val="004718DE"/>
    <w:rsid w:val="004754F1"/>
    <w:rsid w:val="0047647E"/>
    <w:rsid w:val="00477853"/>
    <w:rsid w:val="004778B6"/>
    <w:rsid w:val="004815B9"/>
    <w:rsid w:val="00483BAC"/>
    <w:rsid w:val="00487631"/>
    <w:rsid w:val="00490341"/>
    <w:rsid w:val="00491570"/>
    <w:rsid w:val="00494BD9"/>
    <w:rsid w:val="004A36FE"/>
    <w:rsid w:val="004A643D"/>
    <w:rsid w:val="004B0210"/>
    <w:rsid w:val="004C2FDB"/>
    <w:rsid w:val="004C48D7"/>
    <w:rsid w:val="004D16AD"/>
    <w:rsid w:val="004D2A4B"/>
    <w:rsid w:val="004D2E5D"/>
    <w:rsid w:val="004D4A4C"/>
    <w:rsid w:val="004E08D2"/>
    <w:rsid w:val="004E214E"/>
    <w:rsid w:val="004E2776"/>
    <w:rsid w:val="004E5C31"/>
    <w:rsid w:val="004E6A76"/>
    <w:rsid w:val="004E6EA6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2FCC"/>
    <w:rsid w:val="005070AE"/>
    <w:rsid w:val="00510318"/>
    <w:rsid w:val="00517D24"/>
    <w:rsid w:val="005203C7"/>
    <w:rsid w:val="005239B9"/>
    <w:rsid w:val="005365EF"/>
    <w:rsid w:val="00537A26"/>
    <w:rsid w:val="00542404"/>
    <w:rsid w:val="00544F7C"/>
    <w:rsid w:val="00553E18"/>
    <w:rsid w:val="00553F06"/>
    <w:rsid w:val="00556370"/>
    <w:rsid w:val="00562A30"/>
    <w:rsid w:val="00562E13"/>
    <w:rsid w:val="005666C4"/>
    <w:rsid w:val="00570B95"/>
    <w:rsid w:val="00571E83"/>
    <w:rsid w:val="00574FD3"/>
    <w:rsid w:val="00576D71"/>
    <w:rsid w:val="00580559"/>
    <w:rsid w:val="0058183A"/>
    <w:rsid w:val="005863AE"/>
    <w:rsid w:val="00594D22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D7EF3"/>
    <w:rsid w:val="005E3290"/>
    <w:rsid w:val="005E52FB"/>
    <w:rsid w:val="005F0A82"/>
    <w:rsid w:val="005F2B3B"/>
    <w:rsid w:val="005F38E7"/>
    <w:rsid w:val="005F3B1D"/>
    <w:rsid w:val="005F6806"/>
    <w:rsid w:val="005F6BB7"/>
    <w:rsid w:val="005F71FF"/>
    <w:rsid w:val="00603622"/>
    <w:rsid w:val="00622232"/>
    <w:rsid w:val="00625626"/>
    <w:rsid w:val="006270B9"/>
    <w:rsid w:val="00633483"/>
    <w:rsid w:val="006363DD"/>
    <w:rsid w:val="0063658F"/>
    <w:rsid w:val="00645BAA"/>
    <w:rsid w:val="00647F88"/>
    <w:rsid w:val="0065048D"/>
    <w:rsid w:val="00653966"/>
    <w:rsid w:val="00655ED4"/>
    <w:rsid w:val="0065689A"/>
    <w:rsid w:val="00656968"/>
    <w:rsid w:val="00657C9C"/>
    <w:rsid w:val="00662C20"/>
    <w:rsid w:val="00663A39"/>
    <w:rsid w:val="00671E9C"/>
    <w:rsid w:val="00673977"/>
    <w:rsid w:val="00674314"/>
    <w:rsid w:val="006847B7"/>
    <w:rsid w:val="0069195F"/>
    <w:rsid w:val="006948C9"/>
    <w:rsid w:val="006A705E"/>
    <w:rsid w:val="006B0BA5"/>
    <w:rsid w:val="006B22A1"/>
    <w:rsid w:val="006C4287"/>
    <w:rsid w:val="006D3287"/>
    <w:rsid w:val="006D701C"/>
    <w:rsid w:val="006D7602"/>
    <w:rsid w:val="006D7A64"/>
    <w:rsid w:val="006E17FD"/>
    <w:rsid w:val="006E304C"/>
    <w:rsid w:val="006F0A74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A63"/>
    <w:rsid w:val="007168DB"/>
    <w:rsid w:val="007170A3"/>
    <w:rsid w:val="0071728A"/>
    <w:rsid w:val="00717F83"/>
    <w:rsid w:val="007203FC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0CA"/>
    <w:rsid w:val="0075396C"/>
    <w:rsid w:val="0075741D"/>
    <w:rsid w:val="00761A71"/>
    <w:rsid w:val="007622E4"/>
    <w:rsid w:val="00763CE2"/>
    <w:rsid w:val="007703AF"/>
    <w:rsid w:val="00771C1A"/>
    <w:rsid w:val="00773D38"/>
    <w:rsid w:val="00775E1C"/>
    <w:rsid w:val="00780524"/>
    <w:rsid w:val="00782019"/>
    <w:rsid w:val="0078287D"/>
    <w:rsid w:val="00783050"/>
    <w:rsid w:val="0079251E"/>
    <w:rsid w:val="00795EBB"/>
    <w:rsid w:val="00795F6F"/>
    <w:rsid w:val="007A3B60"/>
    <w:rsid w:val="007B1A9A"/>
    <w:rsid w:val="007B5011"/>
    <w:rsid w:val="007B5F30"/>
    <w:rsid w:val="007C35CE"/>
    <w:rsid w:val="007C6CA6"/>
    <w:rsid w:val="007D188C"/>
    <w:rsid w:val="007D24BA"/>
    <w:rsid w:val="007D5BF9"/>
    <w:rsid w:val="007D706B"/>
    <w:rsid w:val="007E4B4B"/>
    <w:rsid w:val="007E4D71"/>
    <w:rsid w:val="007E6D1D"/>
    <w:rsid w:val="007E7F7C"/>
    <w:rsid w:val="007F0BEF"/>
    <w:rsid w:val="007F51CD"/>
    <w:rsid w:val="007F6ACE"/>
    <w:rsid w:val="00804AA0"/>
    <w:rsid w:val="00811C2B"/>
    <w:rsid w:val="00813893"/>
    <w:rsid w:val="00813A78"/>
    <w:rsid w:val="00815574"/>
    <w:rsid w:val="00817337"/>
    <w:rsid w:val="00817CFB"/>
    <w:rsid w:val="00821980"/>
    <w:rsid w:val="00821AC6"/>
    <w:rsid w:val="008270AD"/>
    <w:rsid w:val="008303FB"/>
    <w:rsid w:val="00830706"/>
    <w:rsid w:val="00836101"/>
    <w:rsid w:val="008372DF"/>
    <w:rsid w:val="00841EA4"/>
    <w:rsid w:val="00842E7D"/>
    <w:rsid w:val="00854D57"/>
    <w:rsid w:val="008560DC"/>
    <w:rsid w:val="00857345"/>
    <w:rsid w:val="00860282"/>
    <w:rsid w:val="0086061A"/>
    <w:rsid w:val="0086073F"/>
    <w:rsid w:val="008670DF"/>
    <w:rsid w:val="00870BA3"/>
    <w:rsid w:val="00873B6A"/>
    <w:rsid w:val="00876396"/>
    <w:rsid w:val="00890042"/>
    <w:rsid w:val="00890352"/>
    <w:rsid w:val="00891549"/>
    <w:rsid w:val="00893D38"/>
    <w:rsid w:val="0089743B"/>
    <w:rsid w:val="00897BAB"/>
    <w:rsid w:val="008A1F6B"/>
    <w:rsid w:val="008A2946"/>
    <w:rsid w:val="008A43C6"/>
    <w:rsid w:val="008A651C"/>
    <w:rsid w:val="008A66A4"/>
    <w:rsid w:val="008C3473"/>
    <w:rsid w:val="008D2D79"/>
    <w:rsid w:val="008D5D00"/>
    <w:rsid w:val="008D6D32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34A0F"/>
    <w:rsid w:val="00934E42"/>
    <w:rsid w:val="00937DA2"/>
    <w:rsid w:val="009401CE"/>
    <w:rsid w:val="0094188A"/>
    <w:rsid w:val="009431ED"/>
    <w:rsid w:val="009451D1"/>
    <w:rsid w:val="009534D9"/>
    <w:rsid w:val="0096108A"/>
    <w:rsid w:val="009613A2"/>
    <w:rsid w:val="009649FB"/>
    <w:rsid w:val="00965A29"/>
    <w:rsid w:val="00966430"/>
    <w:rsid w:val="0097348E"/>
    <w:rsid w:val="00974665"/>
    <w:rsid w:val="009754D3"/>
    <w:rsid w:val="00976D96"/>
    <w:rsid w:val="00977E96"/>
    <w:rsid w:val="009823A7"/>
    <w:rsid w:val="00982A6C"/>
    <w:rsid w:val="00985AF3"/>
    <w:rsid w:val="0098620F"/>
    <w:rsid w:val="0099451F"/>
    <w:rsid w:val="00995A76"/>
    <w:rsid w:val="00995BEB"/>
    <w:rsid w:val="00997043"/>
    <w:rsid w:val="009C5BD1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339BF"/>
    <w:rsid w:val="00A36FA3"/>
    <w:rsid w:val="00A4208E"/>
    <w:rsid w:val="00A437A3"/>
    <w:rsid w:val="00A43F2D"/>
    <w:rsid w:val="00A44F88"/>
    <w:rsid w:val="00A45F70"/>
    <w:rsid w:val="00A5157F"/>
    <w:rsid w:val="00A53049"/>
    <w:rsid w:val="00A77A3D"/>
    <w:rsid w:val="00A97925"/>
    <w:rsid w:val="00AA0E28"/>
    <w:rsid w:val="00AA3745"/>
    <w:rsid w:val="00AA3D72"/>
    <w:rsid w:val="00AA52D8"/>
    <w:rsid w:val="00AB002E"/>
    <w:rsid w:val="00AB022C"/>
    <w:rsid w:val="00AB319A"/>
    <w:rsid w:val="00AB65F9"/>
    <w:rsid w:val="00AB7C61"/>
    <w:rsid w:val="00AC12D7"/>
    <w:rsid w:val="00AC3335"/>
    <w:rsid w:val="00AC6874"/>
    <w:rsid w:val="00AE23C3"/>
    <w:rsid w:val="00AE3693"/>
    <w:rsid w:val="00AF56A9"/>
    <w:rsid w:val="00AF6077"/>
    <w:rsid w:val="00AF709B"/>
    <w:rsid w:val="00AF77A0"/>
    <w:rsid w:val="00B14149"/>
    <w:rsid w:val="00B15924"/>
    <w:rsid w:val="00B22E4C"/>
    <w:rsid w:val="00B31407"/>
    <w:rsid w:val="00B44A66"/>
    <w:rsid w:val="00B45DCB"/>
    <w:rsid w:val="00B45F21"/>
    <w:rsid w:val="00B512E8"/>
    <w:rsid w:val="00B52A67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8572C"/>
    <w:rsid w:val="00B962A3"/>
    <w:rsid w:val="00BA35D9"/>
    <w:rsid w:val="00BA5C66"/>
    <w:rsid w:val="00BA6EE9"/>
    <w:rsid w:val="00BB1C4C"/>
    <w:rsid w:val="00BB47B9"/>
    <w:rsid w:val="00BB6161"/>
    <w:rsid w:val="00BC5792"/>
    <w:rsid w:val="00BC7F12"/>
    <w:rsid w:val="00BD15BC"/>
    <w:rsid w:val="00BE1065"/>
    <w:rsid w:val="00BE4688"/>
    <w:rsid w:val="00BE5985"/>
    <w:rsid w:val="00BE6297"/>
    <w:rsid w:val="00BE6DC0"/>
    <w:rsid w:val="00BF0D0F"/>
    <w:rsid w:val="00BF1EE1"/>
    <w:rsid w:val="00BF3EC6"/>
    <w:rsid w:val="00BF52B0"/>
    <w:rsid w:val="00BF6321"/>
    <w:rsid w:val="00C03F6F"/>
    <w:rsid w:val="00C075E6"/>
    <w:rsid w:val="00C11A47"/>
    <w:rsid w:val="00C23DB5"/>
    <w:rsid w:val="00C249AA"/>
    <w:rsid w:val="00C33CC7"/>
    <w:rsid w:val="00C414BF"/>
    <w:rsid w:val="00C4635D"/>
    <w:rsid w:val="00C5049C"/>
    <w:rsid w:val="00C61FA3"/>
    <w:rsid w:val="00C62BD5"/>
    <w:rsid w:val="00C670C0"/>
    <w:rsid w:val="00C73F62"/>
    <w:rsid w:val="00C74B15"/>
    <w:rsid w:val="00C74C3F"/>
    <w:rsid w:val="00C7601F"/>
    <w:rsid w:val="00C77BE6"/>
    <w:rsid w:val="00C77CFD"/>
    <w:rsid w:val="00C77E24"/>
    <w:rsid w:val="00C80BDE"/>
    <w:rsid w:val="00C81A9A"/>
    <w:rsid w:val="00C83C83"/>
    <w:rsid w:val="00C84682"/>
    <w:rsid w:val="00C85E54"/>
    <w:rsid w:val="00C87B1E"/>
    <w:rsid w:val="00C904A4"/>
    <w:rsid w:val="00C93AD7"/>
    <w:rsid w:val="00C95273"/>
    <w:rsid w:val="00C96035"/>
    <w:rsid w:val="00C96120"/>
    <w:rsid w:val="00C974D4"/>
    <w:rsid w:val="00CB2490"/>
    <w:rsid w:val="00CB272A"/>
    <w:rsid w:val="00CB2D9B"/>
    <w:rsid w:val="00CB5F12"/>
    <w:rsid w:val="00CC03F9"/>
    <w:rsid w:val="00CD4AFA"/>
    <w:rsid w:val="00CF1CE4"/>
    <w:rsid w:val="00CF22CA"/>
    <w:rsid w:val="00CF6348"/>
    <w:rsid w:val="00D0249D"/>
    <w:rsid w:val="00D057A0"/>
    <w:rsid w:val="00D0580A"/>
    <w:rsid w:val="00D06DB6"/>
    <w:rsid w:val="00D10235"/>
    <w:rsid w:val="00D11D71"/>
    <w:rsid w:val="00D1283F"/>
    <w:rsid w:val="00D13025"/>
    <w:rsid w:val="00D1614B"/>
    <w:rsid w:val="00D23213"/>
    <w:rsid w:val="00D243C9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61F4"/>
    <w:rsid w:val="00D67D74"/>
    <w:rsid w:val="00D71AAD"/>
    <w:rsid w:val="00D71ACE"/>
    <w:rsid w:val="00D72738"/>
    <w:rsid w:val="00D73B4A"/>
    <w:rsid w:val="00D76744"/>
    <w:rsid w:val="00D90F9F"/>
    <w:rsid w:val="00D910DA"/>
    <w:rsid w:val="00D959DE"/>
    <w:rsid w:val="00DA5F1B"/>
    <w:rsid w:val="00DB0512"/>
    <w:rsid w:val="00DB10CB"/>
    <w:rsid w:val="00DB3404"/>
    <w:rsid w:val="00DB4A22"/>
    <w:rsid w:val="00DC6791"/>
    <w:rsid w:val="00DC6DA0"/>
    <w:rsid w:val="00DC7702"/>
    <w:rsid w:val="00DE10C5"/>
    <w:rsid w:val="00DE1AE7"/>
    <w:rsid w:val="00DE4651"/>
    <w:rsid w:val="00DE66A7"/>
    <w:rsid w:val="00DE6E7A"/>
    <w:rsid w:val="00DE7F48"/>
    <w:rsid w:val="00DF0826"/>
    <w:rsid w:val="00DF594D"/>
    <w:rsid w:val="00DF7713"/>
    <w:rsid w:val="00DF7B13"/>
    <w:rsid w:val="00E01578"/>
    <w:rsid w:val="00E04E14"/>
    <w:rsid w:val="00E05083"/>
    <w:rsid w:val="00E06834"/>
    <w:rsid w:val="00E06F14"/>
    <w:rsid w:val="00E101BB"/>
    <w:rsid w:val="00E1556D"/>
    <w:rsid w:val="00E16916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47C2"/>
    <w:rsid w:val="00E4710E"/>
    <w:rsid w:val="00E51D21"/>
    <w:rsid w:val="00E536E6"/>
    <w:rsid w:val="00E53931"/>
    <w:rsid w:val="00E65588"/>
    <w:rsid w:val="00E67F38"/>
    <w:rsid w:val="00E70AE6"/>
    <w:rsid w:val="00E77202"/>
    <w:rsid w:val="00E81902"/>
    <w:rsid w:val="00E81AA0"/>
    <w:rsid w:val="00E81E3D"/>
    <w:rsid w:val="00E844D8"/>
    <w:rsid w:val="00E92392"/>
    <w:rsid w:val="00E960C6"/>
    <w:rsid w:val="00EB1A6E"/>
    <w:rsid w:val="00EB4ED6"/>
    <w:rsid w:val="00EC110B"/>
    <w:rsid w:val="00EC5A6C"/>
    <w:rsid w:val="00ED2798"/>
    <w:rsid w:val="00ED4938"/>
    <w:rsid w:val="00EE03EB"/>
    <w:rsid w:val="00EE09B7"/>
    <w:rsid w:val="00EE1600"/>
    <w:rsid w:val="00EE1604"/>
    <w:rsid w:val="00EE363F"/>
    <w:rsid w:val="00EE389D"/>
    <w:rsid w:val="00EE46F9"/>
    <w:rsid w:val="00EE775C"/>
    <w:rsid w:val="00EF036D"/>
    <w:rsid w:val="00EF10F8"/>
    <w:rsid w:val="00EF1899"/>
    <w:rsid w:val="00EF6151"/>
    <w:rsid w:val="00EF68F9"/>
    <w:rsid w:val="00F05DF3"/>
    <w:rsid w:val="00F14691"/>
    <w:rsid w:val="00F174E2"/>
    <w:rsid w:val="00F20E29"/>
    <w:rsid w:val="00F21388"/>
    <w:rsid w:val="00F243DA"/>
    <w:rsid w:val="00F312EF"/>
    <w:rsid w:val="00F36884"/>
    <w:rsid w:val="00F43472"/>
    <w:rsid w:val="00F450B2"/>
    <w:rsid w:val="00F453C3"/>
    <w:rsid w:val="00F45854"/>
    <w:rsid w:val="00F54FA1"/>
    <w:rsid w:val="00F54FB5"/>
    <w:rsid w:val="00F63E9C"/>
    <w:rsid w:val="00F66612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A6729"/>
    <w:rsid w:val="00FB16FE"/>
    <w:rsid w:val="00FB1A75"/>
    <w:rsid w:val="00FB61B8"/>
    <w:rsid w:val="00FC3488"/>
    <w:rsid w:val="00FC4146"/>
    <w:rsid w:val="00FC5424"/>
    <w:rsid w:val="00FC656E"/>
    <w:rsid w:val="00FD4FAA"/>
    <w:rsid w:val="00FE2FC0"/>
    <w:rsid w:val="00FE34DE"/>
    <w:rsid w:val="00FE3875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C7A4A5D3F183A4B4FB35560100EE64608FB9793F4DEF6179480BFB66F5302A2FDD9BF209A56EDDEF897B6036F3c8z3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27226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User</cp:lastModifiedBy>
  <cp:revision>31</cp:revision>
  <cp:lastPrinted>2022-10-11T08:24:00Z</cp:lastPrinted>
  <dcterms:created xsi:type="dcterms:W3CDTF">2022-03-23T09:31:00Z</dcterms:created>
  <dcterms:modified xsi:type="dcterms:W3CDTF">2022-10-11T11:33:00Z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4ef42f2e-3569-410a-aaa5-745bb82f16cf</vt:lpwstr>
  </property>
  <property fmtid="{D5CDD505-2E9C-101B-9397-08002B2CF9AE}" pid="4" name="_dlc_DocIdUrl">
    <vt:lpwstr>https://vip.gov.mari.ru/minselhoz/_layouts/DocIdRedir.aspx?ID=XXJ7TYMEEKJ2-2300-3557, XXJ7TYMEEKJ2-2300-3557</vt:lpwstr>
  </property>
</Properties>
</file>