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AF" w:rsidRDefault="00F15C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5CAF" w:rsidRDefault="00F15CAF">
      <w:pPr>
        <w:pStyle w:val="ConsPlusNormal"/>
        <w:jc w:val="both"/>
        <w:outlineLvl w:val="0"/>
      </w:pPr>
    </w:p>
    <w:p w:rsidR="00F15CAF" w:rsidRDefault="00F15CAF">
      <w:pPr>
        <w:pStyle w:val="ConsPlusNormal"/>
        <w:outlineLvl w:val="0"/>
      </w:pPr>
      <w:r>
        <w:t>Зарегистрировано в Минюсте России 9 июня 2022 г. N 68819</w:t>
      </w:r>
    </w:p>
    <w:p w:rsidR="00F15CAF" w:rsidRDefault="00F15C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15CAF" w:rsidRDefault="00F15CAF">
      <w:pPr>
        <w:pStyle w:val="ConsPlusTitle"/>
        <w:jc w:val="center"/>
      </w:pPr>
    </w:p>
    <w:p w:rsidR="00F15CAF" w:rsidRDefault="00F15CAF">
      <w:pPr>
        <w:pStyle w:val="ConsPlusTitle"/>
        <w:jc w:val="center"/>
      </w:pPr>
      <w:r>
        <w:t>ПРИКАЗ</w:t>
      </w:r>
    </w:p>
    <w:p w:rsidR="00F15CAF" w:rsidRDefault="00F15CAF">
      <w:pPr>
        <w:pStyle w:val="ConsPlusTitle"/>
        <w:jc w:val="center"/>
      </w:pPr>
      <w:r>
        <w:t>от 19 мая 2022 г. N 299</w:t>
      </w:r>
    </w:p>
    <w:p w:rsidR="00F15CAF" w:rsidRDefault="00F15CAF">
      <w:pPr>
        <w:pStyle w:val="ConsPlusTitle"/>
        <w:jc w:val="center"/>
      </w:pPr>
    </w:p>
    <w:p w:rsidR="00F15CAF" w:rsidRDefault="00F15CAF">
      <w:pPr>
        <w:pStyle w:val="ConsPlusTitle"/>
        <w:jc w:val="center"/>
      </w:pPr>
      <w:r>
        <w:t>ОБ УТВЕРЖДЕНИИ ПОРЯДКА</w:t>
      </w:r>
    </w:p>
    <w:p w:rsidR="00F15CAF" w:rsidRDefault="00F15CAF">
      <w:pPr>
        <w:pStyle w:val="ConsPlusTitle"/>
        <w:jc w:val="center"/>
      </w:pPr>
      <w:r>
        <w:t>ВКЛЮЧЕНИЯ СЕЛЬСКОХОЗЯЙСТВЕННЫХ ТОВАРОПРОИЗВОДИТЕЛЕЙ</w:t>
      </w:r>
    </w:p>
    <w:p w:rsidR="00F15CAF" w:rsidRDefault="00F15CAF">
      <w:pPr>
        <w:pStyle w:val="ConsPlusTitle"/>
        <w:jc w:val="center"/>
      </w:pPr>
      <w:r>
        <w:t>(ЗА ИСКЛЮЧЕНИЕМ СЕЛЬСКОХОЗЯЙСТВЕННЫХ КРЕДИТНЫХ</w:t>
      </w:r>
    </w:p>
    <w:p w:rsidR="00F15CAF" w:rsidRDefault="00F15CAF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F15CAF" w:rsidRDefault="00F15CAF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F15CAF" w:rsidRDefault="00F15CAF">
      <w:pPr>
        <w:pStyle w:val="ConsPlusTitle"/>
        <w:jc w:val="center"/>
      </w:pPr>
      <w:r>
        <w:t>И (ИЛИ) ПОСЛЕДУЮЩУЮ (ПРОМЫШЛЕННУЮ) ПЕРЕРАБОТКУ</w:t>
      </w:r>
    </w:p>
    <w:p w:rsidR="00F15CAF" w:rsidRDefault="00F15CAF">
      <w:pPr>
        <w:pStyle w:val="ConsPlusTitle"/>
        <w:jc w:val="center"/>
      </w:pPr>
      <w:r>
        <w:t>СЕЛЬСКОХОЗЯЙСТВЕННОЙ ПРОДУКЦИИ И ЕЕ РЕАЛИЗАЦИЮ, СОДЕРЖАЩИХСЯ</w:t>
      </w:r>
    </w:p>
    <w:p w:rsidR="00F15CAF" w:rsidRDefault="00F15CAF">
      <w:pPr>
        <w:pStyle w:val="ConsPlusTitle"/>
        <w:jc w:val="center"/>
      </w:pPr>
      <w:r>
        <w:t>В РЕЕСТРЕ ПОТЕНЦИАЛЬНЫХ ЗАЕМЩИКОВ, В РЕЕСТР ЗАЕМЩИКОВ</w:t>
      </w:r>
    </w:p>
    <w:p w:rsidR="00F15CAF" w:rsidRDefault="00F15CAF">
      <w:pPr>
        <w:pStyle w:val="ConsPlusTitle"/>
        <w:jc w:val="center"/>
      </w:pPr>
      <w:r>
        <w:t>И ИСКЛЮЧЕНИЯ ИЗ НЕГО, А ТАКЖЕ ФОРМ ДОКУМЕНТОВ,</w:t>
      </w:r>
    </w:p>
    <w:p w:rsidR="00F15CAF" w:rsidRDefault="00F15CAF">
      <w:pPr>
        <w:pStyle w:val="ConsPlusTitle"/>
        <w:jc w:val="center"/>
      </w:pPr>
      <w:r>
        <w:t>ПРЕДУСМОТРЕННЫХ ПОСТАНОВЛЕНИЕМ ПРАВИТЕЛЬСТВА</w:t>
      </w:r>
    </w:p>
    <w:p w:rsidR="00F15CAF" w:rsidRDefault="00F15CAF">
      <w:pPr>
        <w:pStyle w:val="ConsPlusTitle"/>
        <w:jc w:val="center"/>
      </w:pPr>
      <w:r>
        <w:t>РОССИЙСКОЙ ФЕДЕРАЦИИ ОТ 26 АПРЕЛЯ 2019 Г. N 512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ind w:firstLine="540"/>
        <w:jc w:val="both"/>
      </w:pPr>
      <w:r>
        <w:t xml:space="preserve">В соответствии с пунктами 2, </w:t>
      </w:r>
      <w:hyperlink r:id="rId5">
        <w:r>
          <w:rPr>
            <w:color w:val="0000FF"/>
          </w:rPr>
          <w:t>11</w:t>
        </w:r>
      </w:hyperlink>
      <w:r>
        <w:t xml:space="preserve"> и 24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(Собрание законодательства Российской Федерации, 2019, N 18, ст. 2247; Официальный интернет-портал правовой информации (www.pravo.gov.ru), 2022, 29 апреля, N 0001202204290074), приказываю: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1. Утвердить:</w:t>
      </w:r>
    </w:p>
    <w:p w:rsidR="00F15CAF" w:rsidRDefault="00F15CAF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порядок</w:t>
        </w:r>
      </w:hyperlink>
      <w:r>
        <w:t xml:space="preserve">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 согласно приложению N 1 к настоящему приказу;</w:t>
      </w:r>
    </w:p>
    <w:p w:rsidR="00F15CAF" w:rsidRDefault="00F15CAF">
      <w:pPr>
        <w:pStyle w:val="ConsPlusNormal"/>
        <w:spacing w:before="220"/>
        <w:ind w:firstLine="540"/>
        <w:jc w:val="both"/>
      </w:pPr>
      <w:hyperlink w:anchor="P148">
        <w:r>
          <w:rPr>
            <w:color w:val="0000FF"/>
          </w:rPr>
          <w:t>форму</w:t>
        </w:r>
      </w:hyperlink>
      <w:r>
        <w:t xml:space="preserve"> реестра потенциальных заемщиков согласно приложению N 2 к настоящему приказу;</w:t>
      </w:r>
    </w:p>
    <w:p w:rsidR="00F15CAF" w:rsidRDefault="00F15CAF">
      <w:pPr>
        <w:pStyle w:val="ConsPlusNormal"/>
        <w:spacing w:before="220"/>
        <w:ind w:firstLine="540"/>
        <w:jc w:val="both"/>
      </w:pPr>
      <w:hyperlink w:anchor="P578">
        <w:r>
          <w:rPr>
            <w:color w:val="0000FF"/>
          </w:rPr>
          <w:t>форму</w:t>
        </w:r>
      </w:hyperlink>
      <w:r>
        <w:t xml:space="preserve"> реестра заемщиков согласно приложению N 3 к настоящему приказу;</w:t>
      </w:r>
    </w:p>
    <w:p w:rsidR="00F15CAF" w:rsidRDefault="00F15CAF">
      <w:pPr>
        <w:pStyle w:val="ConsPlusNormal"/>
        <w:spacing w:before="220"/>
        <w:ind w:firstLine="540"/>
        <w:jc w:val="both"/>
      </w:pPr>
      <w:hyperlink w:anchor="P773">
        <w:r>
          <w:rPr>
            <w:color w:val="0000FF"/>
          </w:rPr>
          <w:t>форму</w:t>
        </w:r>
      </w:hyperlink>
      <w:r>
        <w:t xml:space="preserve"> заявки на перечисление субсидий, планируемых к выдаче в очередном году, согласно приложению N 4 к настоящему приказу;</w:t>
      </w:r>
    </w:p>
    <w:p w:rsidR="00F15CAF" w:rsidRDefault="00F15CAF">
      <w:pPr>
        <w:pStyle w:val="ConsPlusNormal"/>
        <w:spacing w:before="220"/>
        <w:ind w:firstLine="540"/>
        <w:jc w:val="both"/>
      </w:pPr>
      <w:hyperlink w:anchor="P1127">
        <w:r>
          <w:rPr>
            <w:color w:val="0000FF"/>
          </w:rPr>
          <w:t>форму</w:t>
        </w:r>
      </w:hyperlink>
      <w:r>
        <w:t xml:space="preserve"> поквартального расчета потребности в субсидии согласно приложению N 5 к настоящему приказу.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5CAF" w:rsidRDefault="00F15CAF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16 июля 2019 г. N 411 "Об утверждении порядка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него, а также форм документов, предусмотренных постановлением Правительства Российской Федерации от 26 апреля 2019 г. N 512" (зарегистрирован Министерством юстиции Российской Федерации 22 августа 2019 г., регистрационный N 55724);</w:t>
      </w:r>
    </w:p>
    <w:p w:rsidR="00F15CAF" w:rsidRDefault="00F15CA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2</w:t>
        </w:r>
      </w:hyperlink>
      <w:r>
        <w:t xml:space="preserve"> изменений в порядок и критерии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утвержденные приказом Министерства сельского хозяйства Российской Федерации от 9 июля 2019 г. N 388, и порядок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него, утвержденный приказом Министерства сельского хозяйства Российской Федерации от 16 июля 2019 г. N 411, утвержденных приказом Министерства сельского хозяйства Российской Федерации от 14 декабря 2021 г. N 839 (зарегистрирован Министерством юстиции Российской Федерации 27 января 2022 г., регистрационный N 67029).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</w:pPr>
      <w:r>
        <w:t>Министр</w:t>
      </w:r>
    </w:p>
    <w:p w:rsidR="00F15CAF" w:rsidRDefault="00F15CAF">
      <w:pPr>
        <w:pStyle w:val="ConsPlusNormal"/>
        <w:jc w:val="right"/>
      </w:pPr>
      <w:r>
        <w:t>Д.Н.ПАТРУШЕВ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  <w:outlineLvl w:val="0"/>
      </w:pPr>
      <w:r>
        <w:t>Приложение N 1</w:t>
      </w:r>
    </w:p>
    <w:p w:rsidR="00F15CAF" w:rsidRDefault="00F15CAF">
      <w:pPr>
        <w:pStyle w:val="ConsPlusNormal"/>
        <w:jc w:val="right"/>
      </w:pPr>
      <w:r>
        <w:t>к приказу Минсельхоза России</w:t>
      </w:r>
    </w:p>
    <w:p w:rsidR="00F15CAF" w:rsidRDefault="00F15CAF">
      <w:pPr>
        <w:pStyle w:val="ConsPlusNormal"/>
        <w:jc w:val="right"/>
      </w:pPr>
      <w:r>
        <w:t>от 19 мая 2022 г. N 299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Title"/>
        <w:jc w:val="center"/>
      </w:pPr>
      <w:bookmarkStart w:id="0" w:name="P43"/>
      <w:bookmarkEnd w:id="0"/>
      <w:r>
        <w:t>ПОРЯДОК</w:t>
      </w:r>
    </w:p>
    <w:p w:rsidR="00F15CAF" w:rsidRDefault="00F15CAF">
      <w:pPr>
        <w:pStyle w:val="ConsPlusTitle"/>
        <w:jc w:val="center"/>
      </w:pPr>
      <w:r>
        <w:t>ВКЛЮЧЕНИЯ СЕЛЬСКОХОЗЯЙСТВЕННЫХ ТОВАРОПРОИЗВОДИТЕЛЕЙ</w:t>
      </w:r>
    </w:p>
    <w:p w:rsidR="00F15CAF" w:rsidRDefault="00F15CAF">
      <w:pPr>
        <w:pStyle w:val="ConsPlusTitle"/>
        <w:jc w:val="center"/>
      </w:pPr>
      <w:r>
        <w:t>(ЗА ИСКЛЮЧЕНИЕМ СЕЛЬСКОХОЗЯЙСТВЕННЫХ КРЕДИТНЫХ</w:t>
      </w:r>
    </w:p>
    <w:p w:rsidR="00F15CAF" w:rsidRDefault="00F15CAF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F15CAF" w:rsidRDefault="00F15CAF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F15CAF" w:rsidRDefault="00F15CAF">
      <w:pPr>
        <w:pStyle w:val="ConsPlusTitle"/>
        <w:jc w:val="center"/>
      </w:pPr>
      <w:r>
        <w:t>И (ИЛИ) ПОСЛЕДУЮЩУЮ (ПРОМЫШЛЕННУЮ) ПЕРЕРАБОТКУ</w:t>
      </w:r>
    </w:p>
    <w:p w:rsidR="00F15CAF" w:rsidRDefault="00F15CAF">
      <w:pPr>
        <w:pStyle w:val="ConsPlusTitle"/>
        <w:jc w:val="center"/>
      </w:pPr>
      <w:r>
        <w:t>СЕЛЬСКОХОЗЯЙСТВЕННОЙ ПРОДУКЦИИ И ЕЕ РЕАЛИЗАЦИЮ,</w:t>
      </w:r>
    </w:p>
    <w:p w:rsidR="00F15CAF" w:rsidRDefault="00F15CAF">
      <w:pPr>
        <w:pStyle w:val="ConsPlusTitle"/>
        <w:jc w:val="center"/>
      </w:pPr>
      <w:r>
        <w:t>СОДЕРЖАЩИХСЯ В РЕЕСТРЕ ПОТЕНЦИАЛЬНЫХ ЗАЕМЩИКОВ,</w:t>
      </w:r>
    </w:p>
    <w:p w:rsidR="00F15CAF" w:rsidRDefault="00F15CAF">
      <w:pPr>
        <w:pStyle w:val="ConsPlusTitle"/>
        <w:jc w:val="center"/>
      </w:pPr>
      <w:r>
        <w:t>В РЕЕСТР ЗАЕМЩИКОВ И ИСКЛЮЧЕНИЯ ИЗ НЕГО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ind w:firstLine="540"/>
        <w:jc w:val="both"/>
      </w:pPr>
      <w:r>
        <w:t xml:space="preserve">1. Понятия, используемые в настоящем порядке, применяются в значениях, определенных </w:t>
      </w:r>
      <w:hyperlink r:id="rId8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</w:t>
      </w:r>
      <w:r>
        <w:lastRenderedPageBreak/>
        <w:t>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2247; Официальный интернет-портал правовой информации (www.pravo.gov.ru), 2022, 29 апреля, N 0001202204290074) (далее - Правила).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2. Реестр потенциальных заемщиков оформляется уполномоченным банком в соответствии с формой, приведенной в </w:t>
      </w:r>
      <w:hyperlink w:anchor="P148">
        <w:r>
          <w:rPr>
            <w:color w:val="0000FF"/>
          </w:rPr>
          <w:t>приложении N 2</w:t>
        </w:r>
      </w:hyperlink>
      <w:r>
        <w:t xml:space="preserve"> к настоящему приказу. В один реестр потенциальных заемщиков включается не более 20 заявок, одобренных уполномоченным органом уполномоченного банка, по вопросу предоставления льготного краткосрочного кредита и (или) льготного инвестиционного кредита.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Очередность заявок в реестре потенциальных заемщиков, а также последовательность направления реестров потенциальных заемщиков в Минсельхоз России определяются уполномоченным банком.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Один реестр потенциальных заемщиков должен содержать только заявки на получение льготных краткосрочных кредитов или только заявки на получение льготных инвестиционных кредитов.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 Направление уполномоченным банком реестра потенциальных заемщиков в Минсельхоз России осуществляется не позднее 15-го рабочего дня с даты подписания соглашения о повышении конкурентоспособности одним из следующих способов: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а) на бумажном носителе с одновременным направлением файла, содержащего реестр потенциальных заемщиков в электронном виде,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АИС "Субсидии АПК") путем его прикрепления в подразделе "льготное кредитование";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б) в электронном виде с использованием единой системы межведомственного электронного взаимодействия (далее - СМЭВ), входящей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 Реестр потенциальных заемщиков в случае его представления на бумажном носителе направляется уполномоченным банком в Минсельхоз России вместе с сопроводительным письмом, оформленным на бланке уполномоченного банка, содержащим информацию о том, что: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заемщики, включенные в реестр потенциальных заемщиков, соответствуют требованиям </w:t>
      </w:r>
      <w:hyperlink r:id="rId9">
        <w:r>
          <w:rPr>
            <w:color w:val="0000FF"/>
          </w:rPr>
          <w:t>Правил</w:t>
        </w:r>
      </w:hyperlink>
      <w:r>
        <w:t>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заемщики согласны с условиями кредитования в соответствии с решением уполномоченного органа уполномоченного банка;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заемщики согласны на включение в реестр потенциальных заемщиков;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уполномоченный банк готов заключить кредитный договор (соглашение) с заемщиком;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уполномоченным органом уполномоченного банка принято положительное решение о кредитовании данных заемщиков.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Реестр потенциальных заемщиков (с соответствующим приложением для инвестиционных </w:t>
      </w:r>
      <w:r>
        <w:lastRenderedPageBreak/>
        <w:t>кредитов) прошивается и подписывается уполномоченным лицом уполномоченного банка, подпись которого скрепляется печатью (при наличии).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5. Состав и тип сведений, содержащихся в направляемом с использованием СМЭВ реестре потенциальных заемщиков, а также порядок регистрации реестра потенциальных заемщиков определяются в технологической карте межведомственного информационного взаимодействия, содержащей в том числе информацию, указанную в </w:t>
      </w:r>
      <w:hyperlink w:anchor="P60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6. Прием реестра потенциальных заемщиков на бумажном носителе осуществляется экспедицией Минсельхоза России с отражением времени его получения. Регистрация реестра потенциальных заемщиков на бумажном носителе осуществляется в системе электронного документооборота Минсельхоза России (далее - СЭДО) не позднее одного рабочего дня, следующего за днем получения указанного реестра.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7. В случае направления реестра потенциальных заемщиков на бумажном носителе одним сопроводительным письмом представляется один реестр потенциальных заемщиков с приложением его копии на электронном носителе с одновременным направлением в электронном виде на адрес электронной почты export@mcx.gov.ru в день подачи документов на бумажном носителе.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8. В случае одновременной регистрации реестра потенциальных заемщиков в СЭДО и СМЭВ приоритет в части очередности рассмотрения имеет реестр потенциальных заемщиков, поступивший с использованием СМЭВ.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9. Уполномоченный банк, в который обратился заемщик с заявлением о заключении кредитного договора (соглашения) на цели рефинансирования ранее заключенного льготного инвестиционного договора (далее соответственно - последующий кредитор, рефинансирование задолженности), в случае, предусмотренном </w:t>
      </w:r>
      <w:hyperlink r:id="rId10">
        <w:r>
          <w:rPr>
            <w:color w:val="0000FF"/>
          </w:rPr>
          <w:t>абзацем четвертым пункта 11</w:t>
        </w:r>
      </w:hyperlink>
      <w:r>
        <w:t xml:space="preserve"> Правил, направляет запрос в Минсельхоз России (с копией заявления заемщика о рефинансировании задолженности) о предоставлении следующих сведений: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об остатке причитающихся уполномоченному банку субсидий по данному заемщику по льготному инвестиционному кредиту по состоянию на 1-е число месяца, в котором поступил запрос от последующего кредитора. Размер причитающихся уполномоченному банку субсидий рассчитывается в порядке, установленном </w:t>
      </w:r>
      <w:hyperlink r:id="rId11">
        <w:r>
          <w:rPr>
            <w:color w:val="0000FF"/>
          </w:rPr>
          <w:t>пунктом 20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об условиях ранее заключенного льготного инвестиционного кредитного договора (соглашения) в соответствии с </w:t>
      </w:r>
      <w:hyperlink r:id="rId12">
        <w:r>
          <w:rPr>
            <w:color w:val="0000FF"/>
          </w:rPr>
          <w:t>пунктом 11</w:t>
        </w:r>
      </w:hyperlink>
      <w:r>
        <w:t xml:space="preserve"> Правил и </w:t>
      </w:r>
      <w:hyperlink r:id="rId13">
        <w:r>
          <w:rPr>
            <w:color w:val="0000FF"/>
          </w:rPr>
          <w:t>пунктом 20</w:t>
        </w:r>
      </w:hyperlink>
      <w:r>
        <w:t xml:space="preserve"> настоящего порядка, при изменении которых в рамках рефинансирования задолженности последующий кредитор утрачивает право на получение субсидий по соответствующему кредитному договору (соглашению);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о согласии (несогласии) уполномоченного банка, который ранее выдал льготный инвестиционный кредит (далее - первоначальный кредитор), на рефинансирование задолженности заемщика в ином уполномоченном банке.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10. Минсельхоз России не позднее 5-го рабочего дня, следующего за днем поступления запроса последующего кредитора, указанного в </w:t>
      </w:r>
      <w:hyperlink w:anchor="P71">
        <w:r>
          <w:rPr>
            <w:color w:val="0000FF"/>
          </w:rPr>
          <w:t>пункте 9</w:t>
        </w:r>
      </w:hyperlink>
      <w:r>
        <w:t xml:space="preserve"> настоящего порядка, направляет запрос первоначальному кредитору о предоставлении согласия (несогласия) на рефинансирование задолженности заемщика в ином уполномоченном банке.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Первоначальный кредитор не позднее 5-го рабочего дня после дня получения запроса направляет в Минсельхоз России письмо, содержащее информацию о согласии (несогласии) на досрочное погашение льготного инвестиционного кредита за счет рефинансирования задолженности заемщика в ином уполномоченном банке (далее - письмо о согласии (несогласии) первоначального кредитора).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lastRenderedPageBreak/>
        <w:t xml:space="preserve">11. Минсельхоз России направляет последующему кредитору сведения, указанные в </w:t>
      </w:r>
      <w:hyperlink w:anchor="P71">
        <w:r>
          <w:rPr>
            <w:color w:val="0000FF"/>
          </w:rPr>
          <w:t>пункте 9</w:t>
        </w:r>
      </w:hyperlink>
      <w:r>
        <w:t xml:space="preserve"> настоящего порядка, а также письмо о согласии (несогласии) первоначального кредитора не позднее 5-го рабочего дня, следующего за днем поступления в Минсельхоз России письма о согласии (несогласии) первоначального кредитора.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12. Последующий кредитор не позднее 5-го рабочего дня со дня получения письма Минсельхоза России, содержащего сведения, указанные в </w:t>
      </w:r>
      <w:hyperlink w:anchor="P71">
        <w:r>
          <w:rPr>
            <w:color w:val="0000FF"/>
          </w:rPr>
          <w:t>пункте 9</w:t>
        </w:r>
      </w:hyperlink>
      <w:r>
        <w:t xml:space="preserve"> настоящего порядка, и письма о согласии первоначального кредитора включает заемщика в реестр потенциальных заемщиков в соответствии с формой, приведенной в </w:t>
      </w:r>
      <w:hyperlink w:anchor="P148">
        <w:r>
          <w:rPr>
            <w:color w:val="0000FF"/>
          </w:rPr>
          <w:t>приложении N 2</w:t>
        </w:r>
      </w:hyperlink>
      <w:r>
        <w:t xml:space="preserve"> к настоящему приказу, и уведомляет заемщика, обратившегося в уполномоченный банк с заявлением о рефинансировании задолженности, о включении его в реестр потенциальных заемщиков и готовности банка заключить кредитный договор (соглашение) о рефинансировании задолженности.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Уполномоченный банк отражает в реестре потенциальных заемщиков информацию о рефинансируемом кредите.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Последующий кредитор направляет в Минсельхоз России в соответствии с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 реестр потенциальных заемщиков, содержащий заявки заемщиков, обратившихся в уполномоченный банк с заявлением о рефинансировании задолженности, с сопроводительным письмом, содержащим сведения о готовности уполномоченного банка, в который обратился заемщик с заявлением о рефинансировании задолженности, заключить с заемщиком кредитный договор (соглашение) о рефинансировании задолженности.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13. Последующий кредитор не позднее 5-го рабочего дня со дня получения письма Минсельхоза России, содержащего сведения, указанные в </w:t>
      </w:r>
      <w:hyperlink w:anchor="P71">
        <w:r>
          <w:rPr>
            <w:color w:val="0000FF"/>
          </w:rPr>
          <w:t>пункте 9</w:t>
        </w:r>
      </w:hyperlink>
      <w:r>
        <w:t xml:space="preserve"> настоящего порядка, и письма о несогласии первоначального кредитора уведомляет заемщика, обратившегося в уполномоченный банк с заявлением о рефинансировании задолженности, об отказе во включении заемщика в реестр потенциальных заемщиков.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Заемщик в случае получения отказа в рефинансировании задолженности от последующего кредитора по причине получения письма о несогласии первоначального кредитора самостоятельно обращается к первоначальному кредитору для урегулирования причин несогласия на рефинансирование задолженности. В случае если по результатам урегулирования причин несогласия на рефинансирование задолженности с первоначальным кредитором заемщик получает от первоначального кредитора письмо о согласии первоначального кредитора, то заемщик передает такое письмо последующему кредитору для направления в Минсельхоз России.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Последующий кредитор на основании письма Минсельхоза России, содержащего сведения, указанные в </w:t>
      </w:r>
      <w:hyperlink w:anchor="P71">
        <w:r>
          <w:rPr>
            <w:color w:val="0000FF"/>
          </w:rPr>
          <w:t>пункте 9</w:t>
        </w:r>
      </w:hyperlink>
      <w:r>
        <w:t xml:space="preserve"> настоящего порядка, и представленного заемщиком письма о согласии первоначального кредитора включает заемщика в реестр потенциальных заемщиков в соответствии с формой, приведенной в </w:t>
      </w:r>
      <w:hyperlink w:anchor="P148">
        <w:r>
          <w:rPr>
            <w:color w:val="0000FF"/>
          </w:rPr>
          <w:t>приложении N 2</w:t>
        </w:r>
      </w:hyperlink>
      <w:r>
        <w:t xml:space="preserve"> к настоящему приказу, и направляет его в соответствии с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 в Минсельхоз России одновременно с письмом о согласии первоначального кредитора. Уполномоченный банк производит отметку в реестре потенциальных заемщиков о том, что кредитные средства будут направлены на рефинансирование задолженности.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14. Представленные уполномоченными банками документы о включении заемщика, содержащегося в реестре потенциальных заемщиков, в реестр заемщиков рассматриваются Минсельхозом России не позднее 6-го рабочего дня со дня, следующего за днем регистрации реестров потенциальных заемщиков, на предмет комплектности документов и полноты содержащейся в них информации, соответствия представленных реестров потенциальных заемщиков форме, приведенной в </w:t>
      </w:r>
      <w:hyperlink w:anchor="P148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15. При рассмотрении зарегистрированных реестров потенциальных заемщиков, представленных уполномоченными банками, и принятии решения о включении заемщика, </w:t>
      </w:r>
      <w:r>
        <w:lastRenderedPageBreak/>
        <w:t>содержащегося в реестре потенциальных заемщиков, в реестр заемщиков учитывается соблюдение следующих условий: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а) наличие бюджетных ассигнований и лимитов бюджетных обязательств, утвержденных Минсельхозу России на цели, указанные в </w:t>
      </w:r>
      <w:hyperlink r:id="rId14">
        <w:r>
          <w:rPr>
            <w:color w:val="0000FF"/>
          </w:rPr>
          <w:t>пункте 1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б) соблюдение уполномоченным банком требований, установленных </w:t>
      </w:r>
      <w:hyperlink w:anchor="P54">
        <w:r>
          <w:rPr>
            <w:color w:val="0000FF"/>
          </w:rPr>
          <w:t>пунктами 2</w:t>
        </w:r>
      </w:hyperlink>
      <w:r>
        <w:t xml:space="preserve"> - </w:t>
      </w:r>
      <w:hyperlink w:anchor="P60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в) очередность поступления реестров потенциальных заемщиков в Минсельхоз России с учетом времени их регистрации;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г) соблюдение требований по максимальному размеру льготного краткосрочного кредита, предоставляемого одному заемщику, определенному в соответствии с </w:t>
      </w:r>
      <w:hyperlink r:id="rId15">
        <w:r>
          <w:rPr>
            <w:color w:val="0000FF"/>
          </w:rPr>
          <w:t>абзацем третьим пункта 11</w:t>
        </w:r>
      </w:hyperlink>
      <w:r>
        <w:t xml:space="preserve"> Правил.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16. Решение о включении заемщика, содержащегося в реестре потенциальных заемщиков, в реестр заемщиков принимается Минсельхозом России в случае соблюдения условий, предусмотренных </w:t>
      </w:r>
      <w:hyperlink w:anchor="P85">
        <w:r>
          <w:rPr>
            <w:color w:val="0000FF"/>
          </w:rPr>
          <w:t>пунктом 15</w:t>
        </w:r>
      </w:hyperlink>
      <w:r>
        <w:t xml:space="preserve"> настоящего порядка. В случае несоблюдения условий, предусмотренных </w:t>
      </w:r>
      <w:hyperlink w:anchor="P85">
        <w:r>
          <w:rPr>
            <w:color w:val="0000FF"/>
          </w:rPr>
          <w:t>пунктом 15</w:t>
        </w:r>
      </w:hyperlink>
      <w:r>
        <w:t xml:space="preserve"> настоящего порядка, Минсельхозом России принимается решение о невключении заемщика, содержащегося в реестре потенциальных заемщиков, в реестр заемщиков.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Решение о включении (невключении)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на бумажном носителе, принимается Минсельхозом России и направляется в уполномоченные банки письмом, оформленным на бланке Минсельхоза России и подписанным уполномоченным должностным лицом Минсельхоза России, не позднее 7-го рабочего дня, следующего за днем регистрации реестра потенциальных заемщиков в Минсельхозе России, с указанием идентификационного номера заявки.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Решение о включении (невключении) заемщика, содержащегося в реестре потенциальных заемщиков, в реестр заемщиков в отношении реестров потенциальных заемщиков, поступивших от уполномоченных банков с использованием СМЭВ, принимается Минсельхозом России и направляется в уполномоченные банки с использованием СМЭВ не позднее 7-го рабочего дня, следующего за днем поступления реестра потенциальных заемщиков в Минсельхоз России.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6" w:name="P93"/>
      <w:bookmarkEnd w:id="6"/>
      <w:r>
        <w:t>17. Решение о включении заемщика в реестр заемщиков действует: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а) по льготным краткосрочным кредитам - в течение 30 (тридцати)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заемщика, содержащегося в реестре потенциальных заемщиков, в реестр заемщиков;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б) по льготным инвестиционным кредитам - в течение 60 (шестидесяти)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заемщика, содержащегося в реестре потенциальных заемщиков, в реестр заемщиков;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в) по льготным инвестиционным кредитам, полученным на цели рефинансирования задолженности, - в течение 30 (тридцати) календарных дней со дня уведомления уполномоченного банка, в который обратился заемщик с заявлением о рефинансировании задолженности, Минсельхозом России о принятом положительном решении о включении соответствующего заемщика, содержащегося в реестре потенциальных заемщиков, в реестр заемщиков.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18. Уполномоченный банк после получения решения Минсельхоза России о включении </w:t>
      </w:r>
      <w:r>
        <w:lastRenderedPageBreak/>
        <w:t>заемщика, содержащегося в реестре потенциальных заемщиков, в реестр заемщиков заключает с заемщиком по одной одобренной заявке соответствующего заемщика один кредитный договор (соглашение).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Уполномоченный банк не позднее 3 (трех) рабочих дней со дня заключения с заемщиком кредитного договора (соглашения) включает заемщика в реестр заемщиков, который оформляется согласно </w:t>
      </w:r>
      <w:hyperlink w:anchor="P578">
        <w:r>
          <w:rPr>
            <w:color w:val="0000FF"/>
          </w:rPr>
          <w:t>приложению N 3</w:t>
        </w:r>
      </w:hyperlink>
      <w:r>
        <w:t xml:space="preserve"> к настоящему приказу, и направляет информацию в Минсельхоз России письмом на бланке уполномоченного банка, а также посредством АИС "Субсидии АПК".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Включение последующим кредитором заемщика в реестр заемщиков осуществляется после получения уведомления о полном погашении задолженности, которое предыдущий кредитор обязан направить последующему кредитору и в Минсельхоз России не позднее рабочего дня, следующего за днем погашения задолженности.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Предыдущий кредитор исключает заемщика из реестра заемщиков в день полного исполнения обязательств по соответствующему кредитному договору (соглашению).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19. В случае незаключения кредитных договоров (соглашений) и (или) невключения заемщика в реестр заемщиков в сроки, установленные </w:t>
      </w:r>
      <w:hyperlink w:anchor="P93">
        <w:r>
          <w:rPr>
            <w:color w:val="0000FF"/>
          </w:rPr>
          <w:t>пунктами 17</w:t>
        </w:r>
      </w:hyperlink>
      <w:r>
        <w:t xml:space="preserve"> и </w:t>
      </w:r>
      <w:hyperlink w:anchor="P97">
        <w:r>
          <w:rPr>
            <w:color w:val="0000FF"/>
          </w:rPr>
          <w:t>18</w:t>
        </w:r>
      </w:hyperlink>
      <w:r>
        <w:t xml:space="preserve"> настоящего порядка, решение Минсельхоза России о включении соответствующего заемщика в реестр заемщиков аннулируется, соответствующая заявка исключается из реестра потенциальных заемщиков. При этом уполномоченный банк имеет право повторно включить заемщика в реестр потенциальных заемщиков.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20. В случае необходимости уточнения информации по ранее включенным в реестр заемщиков заявкам (в том числе в случае, предусмотренном </w:t>
      </w:r>
      <w:hyperlink r:id="rId16">
        <w:r>
          <w:rPr>
            <w:color w:val="0000FF"/>
          </w:rPr>
          <w:t>абзацем шестым пункта 11</w:t>
        </w:r>
      </w:hyperlink>
      <w:r>
        <w:t xml:space="preserve"> Правил) уполномоченный банк направляет в Минсельхоз России письмо, оформленное на бланке уполномоченного банка, с указанием перечня корректируемых данных и их новых значений, причин корректировок, а также с приложением документов, обосновывающих вносимые корректировки (далее - письмо уполномоченного банка о корректировках).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При этом не допускается корректировка ранее поданных заявок в части: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а) увеличения срока кредитования, за исключением случая, указанного в </w:t>
      </w:r>
      <w:hyperlink r:id="rId17">
        <w:r>
          <w:rPr>
            <w:color w:val="0000FF"/>
          </w:rPr>
          <w:t>абзаце шестом пункта 11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б) увеличения размера льготной ставки по кредитному договору (соглашению), за исключением случая, указанного в </w:t>
      </w:r>
      <w:hyperlink r:id="rId18">
        <w:r>
          <w:rPr>
            <w:color w:val="0000FF"/>
          </w:rPr>
          <w:t>абзаце шестом пункта 11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в) увеличения размера планируемых к предоставлению субсидий в текущем финансовом году, в очередном финансовом году и в каждом из последующих финансовых годов, за исключением случаев, указанных в </w:t>
      </w:r>
      <w:hyperlink r:id="rId19">
        <w:r>
          <w:rPr>
            <w:color w:val="0000FF"/>
          </w:rPr>
          <w:t>абзаце шестом пункта 11</w:t>
        </w:r>
      </w:hyperlink>
      <w:r>
        <w:t xml:space="preserve"> и </w:t>
      </w:r>
      <w:hyperlink r:id="rId20">
        <w:r>
          <w:rPr>
            <w:color w:val="0000FF"/>
          </w:rPr>
          <w:t>абзаце пятнадцатом пункта 20</w:t>
        </w:r>
      </w:hyperlink>
      <w:r>
        <w:t xml:space="preserve"> Правил, а также случаев корректировки размера субсидий, связанных с изменением графиков выборки и (или) погашения кредитных средств по льготным инвестиционным кредитам и льготным краткосрочным кредитам, и представления уполномоченным банком в Минсельхоз России заявок на получение субсидий за декабрь текущего года согласно </w:t>
      </w:r>
      <w:hyperlink r:id="rId21">
        <w:r>
          <w:rPr>
            <w:color w:val="0000FF"/>
          </w:rPr>
          <w:t>пункту 28(1)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г) направления целевого использования льготного краткосрочного кредита и (или) льготного инвестиционного кредита;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д) наименования субъекта Российской Федерации, с которым заключено соглашение о повышении конкурентоспособности;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е) размера льготного краткосрочного кредита и (или) льготного инвестиционного кредита (за исключением случаев, когда размер причитающихся субсидий в текущем, очередном и в каждом из последующих финансовых годов не превышает ранее согласованного значения);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lastRenderedPageBreak/>
        <w:t>ж) замены заемщика (за исключением реорганизации в форме присоединения или преобразования при условии сохранения присоединяющей или преобразованной организацией статуса сельскохозяйственного товаропроизводителя или статуса организации, осуществляющей производство, первичную и (или) последующую (промышленную) переработку сельскохозяйственной продукции и ее реализацию, а также за исключением смерти, признания умершим или безвестно отсутствующим главы крестьянского (фермерского) хозяйства).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В случае корректировки размера субсидий, связанных с изменением графиков выборки и (или) погашением кредитов по льготным инвестиционным кредитам и льготным краткосрочным кредитам, уполномоченный банк не позднее 3 (трех) рабочих дней, следующих за днем изменения графика выборки и (или) погашения кредита, направляет в Минсельхоз России письмо, оформленное на бланке уполномоченного банка, с информацией об идентификационном номере заявки и уточненной сумме субсидий в разбивке по каждому году и на весь срок.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Минсельхоз России рассматривает письмо уполномоченного банка о корректировках в течение 15 (пятнадцати) рабочих дней со дня его регистрации в СЭДО и в случае отсутствия замечаний письменно сообщает о возможности внесения соответствующих изменений в реестр заемщиков и согласовывает путем подтверждения положительного решения в электронном виде в АИС "Субсидии АПК" в отношении изменений, вносимых уполномоченным банком. При наличии замечаний Минсельхоз России в течение 15 (пятнадцати) рабочих дней со дня регистрации в СЭДО письма уполномоченного банка о корректировках письменно направляет свои замечания. После устранения замечаний Минсельхоза России уполномоченный банк повторно направляет в Минсельхоз России указанное письмо в установленном настоящим пунктом порядке.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21. Уполномоченный банк, заключивший с заемщиком дополнительное соглашение к кредитному договору (соглашению) в соответствии с </w:t>
      </w:r>
      <w:hyperlink r:id="rId22">
        <w:r>
          <w:rPr>
            <w:color w:val="0000FF"/>
          </w:rPr>
          <w:t>абзацем шестым пункта 11</w:t>
        </w:r>
      </w:hyperlink>
      <w:r>
        <w:t xml:space="preserve"> Правил, не позднее 5 (пяти) рабочих дней, следующих за днем заключения такого дополнительного соглашения, направляет в Минсельхоз России письмо, оформленное на бланке уполномоченного банка, с информацией об идентификационном номере заявки и уточненной сумме субсидий в разбивке по каждому году и на весь срок, а также копию дополнительного соглашения к кредитному договору (соглашению), заверенную уполномоченным лицом уполномоченного банка, подпись которого скрепляется печатью (при наличии).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Минсельхоз России рассматривает письмо уполномоченного банка, указанное в </w:t>
      </w:r>
      <w:hyperlink w:anchor="P113">
        <w:r>
          <w:rPr>
            <w:color w:val="0000FF"/>
          </w:rPr>
          <w:t>абзаце первом</w:t>
        </w:r>
      </w:hyperlink>
      <w:r>
        <w:t xml:space="preserve"> настоящего пункта, в течение 5 (пяти) рабочих дней со дня его регистрации в СЭДО и в случае отсутствия замечаний письменно сообщает о возможности внесения соответствующих изменений в реестр заемщиков и согласовывает путем подтверждения положительного решения в электронном виде в АИС "Субсидии АПК" в отношении изменений, вносимых уполномоченным банком. При наличии замечаний Минсельхоз России в течение 5 (пяти) рабочих дней со дня регистрации в СЭДО письма уполномоченного банка письменно направляет свои замечания. После устранения замечаний Минсельхоза России уполномоченный банк повторно направляет в Минсельхоз России указанное письмо в установленном настоящим пунктом порядке.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22. Уполномоченный банк, заключивший с заемщиком дополнительное соглашение к кредитному договору (соглашению) и на основании </w:t>
      </w:r>
      <w:hyperlink w:anchor="P124">
        <w:r>
          <w:rPr>
            <w:color w:val="0000FF"/>
          </w:rPr>
          <w:t>подпункта "г" пункта 25</w:t>
        </w:r>
      </w:hyperlink>
      <w:r>
        <w:t xml:space="preserve"> настоящего порядка исключивший заемщика из реестра заемщиков, в целях включения заемщика в реестр заемщиков в соответствии с </w:t>
      </w:r>
      <w:hyperlink r:id="rId23">
        <w:r>
          <w:rPr>
            <w:color w:val="0000FF"/>
          </w:rPr>
          <w:t>абзацем шестым пункта 11</w:t>
        </w:r>
      </w:hyperlink>
      <w:r>
        <w:t xml:space="preserve"> Правил направляет в Минсельхоз России письмо, оформленное на бланке уполномоченного банка, с информацией об идентификационном номере заявки и уточненной сумме субсидий, рассчитанной в разбивке по каждому году и на весь срок, а также копии дополнительных соглашений к кредитному договору, заверенные уполномоченным лицом уполномоченного банка, подпись которого скрепляется печатью (при наличии).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Минсельхоз России рассматривает письмо уполномоченного банка, указанное в </w:t>
      </w:r>
      <w:hyperlink w:anchor="P115">
        <w:r>
          <w:rPr>
            <w:color w:val="0000FF"/>
          </w:rPr>
          <w:t>абзаце первом</w:t>
        </w:r>
      </w:hyperlink>
      <w:r>
        <w:t xml:space="preserve"> настоящего пункта, в течение 5 (пяти) рабочих дней со дня его регистрации в СЭДО и в случае отсутствия замечаний письменно сообщает о возможности внесения соответствующих </w:t>
      </w:r>
      <w:r>
        <w:lastRenderedPageBreak/>
        <w:t>изменений в реестр заемщиков и согласовывает путем подтверждения положительного решения в электронном виде в АИС "Субсидии АПК" в отношении изменений, вносимых уполномоченным банком. При наличии замечаний Минсельхоз России в течение 5 (пяти) рабочих дней со дня регистрации в СЭДО письма уполномоченного банка письменно направляет свои замечания. После устранения замечаний Минсельхоза России уполномоченный банк повторно направляет в Минсельхоз России указанное письмо в установленном настоящим пунктом порядке.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23. Уполномоченный банк не позднее 15-го рабочего дня месяца, следующего за отчетным, направляет в Минсельхоз России письмо, оформленное на бланке уполномоченного банка, с информацией о ранее включенных в реестр заемщиков заявках, по которым снизился размер планируемых к предоставлению субсидий или прекращены обязательства заемщика по кредитному договору (соглашению), наименовании заемщика, идентификационном номере заявки, номере кредитного договора и уточненной сумме субсидий в разбивке по каждому году и на весь срок кредитования.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Минсельхоз России не позднее 10 (десяти) рабочих дней со дня получения письма уполномоченного банка, указанного в </w:t>
      </w:r>
      <w:hyperlink w:anchor="P117">
        <w:r>
          <w:rPr>
            <w:color w:val="0000FF"/>
          </w:rPr>
          <w:t>абзаце первом</w:t>
        </w:r>
      </w:hyperlink>
      <w:r>
        <w:t xml:space="preserve"> настоящего пункта, вносит соответствующую информацию в АИС "Субсидии АПК".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24. Уполномоченный банк не позднее 15-го рабочего дня месяца, следующего за кварталом, направляет в Минсельхоз России письмо, оформленное на бланке уполномоченного банка, с реестром заемщиков, сформированным согласно </w:t>
      </w:r>
      <w:hyperlink w:anchor="P578">
        <w:r>
          <w:rPr>
            <w:color w:val="0000FF"/>
          </w:rPr>
          <w:t>приложению N 3</w:t>
        </w:r>
      </w:hyperlink>
      <w:r>
        <w:t xml:space="preserve"> к настоящему приказу, с одновременным направлением файла, содержащего реестр заемщиков в электронном виде, с использованием АИС "Субсидии АПК".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25. Уполномоченный банк исключает заемщика из реестра заемщиков в случае наступления одного или нескольких из следующих случаев: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а) нарушения заемщиком целей использования льготного краткосрочного кредита и (или) льготного инвестиционного кредита (за исключением нецелевого использования части льготного краткосрочного кредита или льготного инвестиционного кредита);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б) несоответствия заемщика требованиям, установленным </w:t>
      </w:r>
      <w:hyperlink r:id="rId24">
        <w:r>
          <w:rPr>
            <w:color w:val="0000FF"/>
          </w:rPr>
          <w:t>пунктом 6</w:t>
        </w:r>
      </w:hyperlink>
      <w:r>
        <w:t xml:space="preserve"> Правил (до дня представления в уполномоченный банк документов, подтверждающих соответствие заемщика требованиям, установленным </w:t>
      </w:r>
      <w:hyperlink r:id="rId25">
        <w:r>
          <w:rPr>
            <w:color w:val="0000FF"/>
          </w:rPr>
          <w:t>пунктом 6</w:t>
        </w:r>
      </w:hyperlink>
      <w:r>
        <w:t xml:space="preserve"> Правил);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в)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 до дня исполнения заемщиком своих просроченных обязательств по погашению основного долга, уплате начисленных процентов по кредитному договору (соглашению);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 xml:space="preserve">г) подписания заемщиком и уполномоченным банком соглашения о продлении срока пользования льготным краткосрочным кредитом и (или) льготным инвестиционным кредитом (пролонгации) (в данном случае исключению из реестра заемщиков подлежит кредитный договор, по которому подписано соглашение о продлении срока), за исключением случаев, указанных в </w:t>
      </w:r>
      <w:hyperlink r:id="rId26">
        <w:r>
          <w:rPr>
            <w:color w:val="0000FF"/>
          </w:rPr>
          <w:t>абзаце шестом пункта 11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>д) получения от Минсельхоза России уведомления о нарушении заемщиком условий и (или) недостижении значений показателей соглашения о повышении конкурентоспособности;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е) получения уведомления от Минсельхоза России о расторжении соглашения о повышении конкурентоспособности;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lastRenderedPageBreak/>
        <w:t>ж) размещения на депозитах, а также в иных финансовых инструментах предоставленных уполномоченным банком заемщику кредитных ресурсов в соответствии с кредитным договором (соглашением);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з) увеличения уполномоченным банком процентной ставки по кредитному договору (соглашению), за исключением случаев, указанных в </w:t>
      </w:r>
      <w:hyperlink r:id="rId27">
        <w:r>
          <w:rPr>
            <w:color w:val="0000FF"/>
          </w:rPr>
          <w:t>абзаце шестом пункта 11</w:t>
        </w:r>
      </w:hyperlink>
      <w:r>
        <w:t xml:space="preserve"> и </w:t>
      </w:r>
      <w:hyperlink r:id="rId28">
        <w:r>
          <w:rPr>
            <w:color w:val="0000FF"/>
          </w:rPr>
          <w:t>абзаце втором пункта 35</w:t>
        </w:r>
      </w:hyperlink>
      <w:r>
        <w:t xml:space="preserve"> Правил;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>и) включения заемщика в реестр заемщиков при условии досрочного погашения задолженности у первоначального кредитора;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к) неподтверждения заемщиком, который относится к организациям и индивидуальным предпринимателям, указанным в </w:t>
      </w:r>
      <w:hyperlink r:id="rId29">
        <w:r>
          <w:rPr>
            <w:color w:val="0000FF"/>
          </w:rPr>
          <w:t>абзаце девятом пункта 2</w:t>
        </w:r>
      </w:hyperlink>
      <w:r>
        <w:t xml:space="preserve"> Правил, по истечении трех лет с даты заключения договора о предоставлении льготного инвестиционного кредита, но не позднее даты окончания срока такого кредита, доли дохода от реализации продукции согласно перечням, утверждаемым Правительством Российской Федерации в соответствии с </w:t>
      </w:r>
      <w:hyperlink r:id="rId30">
        <w:r>
          <w:rPr>
            <w:color w:val="0000FF"/>
          </w:rPr>
          <w:t>частью 1 статьи 3</w:t>
        </w:r>
      </w:hyperlink>
      <w:r>
        <w:t xml:space="preserve">, </w:t>
      </w:r>
      <w:hyperlink r:id="rId31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32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2021, N 27, ст. 5146), в общем доходе от реализации товаров (работ, услуг) в размере не менее 70 процентов за календарный год;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>л) полного погашения заемщиком основного долга и начисленных процентов по льготному краткосрочному кредиту или льготному инвестиционному кредиту.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26. В случае исключения уполномоченным банком заемщика из реестра заемщиков по основанию, установленному </w:t>
      </w:r>
      <w:hyperlink w:anchor="P122">
        <w:r>
          <w:rPr>
            <w:color w:val="0000FF"/>
          </w:rPr>
          <w:t>подпунктом "б" пункта 25</w:t>
        </w:r>
      </w:hyperlink>
      <w:r>
        <w:t xml:space="preserve"> настоящего порядка, заемщик подлежит включению уполномоченным банком в реестр заемщиков со дня предоставления в уполномоченный банк документов, подтверждающих соответствие заемщика требованиям, установленным </w:t>
      </w:r>
      <w:hyperlink r:id="rId33">
        <w:r>
          <w:rPr>
            <w:color w:val="0000FF"/>
          </w:rPr>
          <w:t>пунктом 6</w:t>
        </w:r>
      </w:hyperlink>
      <w:r>
        <w:t xml:space="preserve"> Правил.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27. В случае исключения уполномоченным банком заемщика из реестра заемщиков по основанию, установленному </w:t>
      </w:r>
      <w:hyperlink w:anchor="P125">
        <w:r>
          <w:rPr>
            <w:color w:val="0000FF"/>
          </w:rPr>
          <w:t>подпунктом "д" пункта 25</w:t>
        </w:r>
      </w:hyperlink>
      <w:r>
        <w:t xml:space="preserve"> настоящего порядка, заемщик подлежит включению уполномоченным банком в реестр заемщиков со дня получения уведомления от Минсельхоза России о соблюдении заемщиком условий и (или) достижении значений показателей соглашения о повышении конкурентоспособности.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28. Уполномоченный банк в день выявления случаев, указанных в </w:t>
      </w:r>
      <w:hyperlink w:anchor="P120">
        <w:r>
          <w:rPr>
            <w:color w:val="0000FF"/>
          </w:rPr>
          <w:t>пункте 25</w:t>
        </w:r>
      </w:hyperlink>
      <w:r>
        <w:t xml:space="preserve"> настоящего порядка, за исключением </w:t>
      </w:r>
      <w:hyperlink w:anchor="P129">
        <w:r>
          <w:rPr>
            <w:color w:val="0000FF"/>
          </w:rPr>
          <w:t>подпункта "и" пункта 25</w:t>
        </w:r>
      </w:hyperlink>
      <w:r>
        <w:t xml:space="preserve"> настоящего порядка, исключает заемщика из реестра заемщиков и письмом, оформленным на бланке уполномоченного банка, информирует об этом Минсельхоз России не позднее 5 (пяти) рабочих дней, следующих за днем выявления указанных обстоятельств.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29">
        <w:r>
          <w:rPr>
            <w:color w:val="0000FF"/>
          </w:rPr>
          <w:t>подпункте "и" пункта 25</w:t>
        </w:r>
      </w:hyperlink>
      <w:r>
        <w:t xml:space="preserve"> настоящего порядка, уполномоченный банк исключает заемщика из реестра согласно </w:t>
      </w:r>
      <w:hyperlink w:anchor="P97">
        <w:r>
          <w:rPr>
            <w:color w:val="0000FF"/>
          </w:rPr>
          <w:t>пункту 18</w:t>
        </w:r>
      </w:hyperlink>
      <w:r>
        <w:t xml:space="preserve"> настоящего порядка.</w:t>
      </w:r>
    </w:p>
    <w:p w:rsidR="00F15CAF" w:rsidRDefault="00F15CAF">
      <w:pPr>
        <w:pStyle w:val="ConsPlusNormal"/>
        <w:spacing w:before="220"/>
        <w:ind w:firstLine="540"/>
        <w:jc w:val="both"/>
      </w:pPr>
      <w:r>
        <w:t xml:space="preserve">Уполномоченный банк в случае исключения заемщика из реестра заемщиков (за исключением случаев, указанных в </w:t>
      </w:r>
      <w:hyperlink w:anchor="P122">
        <w:r>
          <w:rPr>
            <w:color w:val="0000FF"/>
          </w:rPr>
          <w:t>подпунктах "б"</w:t>
        </w:r>
      </w:hyperlink>
      <w:r>
        <w:t xml:space="preserve"> - </w:t>
      </w:r>
      <w:hyperlink w:anchor="P125">
        <w:r>
          <w:rPr>
            <w:color w:val="0000FF"/>
          </w:rPr>
          <w:t>"д"</w:t>
        </w:r>
      </w:hyperlink>
      <w:r>
        <w:t xml:space="preserve"> и </w:t>
      </w:r>
      <w:hyperlink w:anchor="P129">
        <w:r>
          <w:rPr>
            <w:color w:val="0000FF"/>
          </w:rPr>
          <w:t>"и" пункта 25</w:t>
        </w:r>
      </w:hyperlink>
      <w:r>
        <w:t xml:space="preserve"> настоящего порядка) не вправе повторно включать заемщика в реестр заемщиков по кредитному договору (соглашению), по которому было прекращено предоставление субсидии уполномоченному банку.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  <w:outlineLvl w:val="0"/>
      </w:pPr>
      <w:r>
        <w:t>Приложение N 2</w:t>
      </w:r>
    </w:p>
    <w:p w:rsidR="00F15CAF" w:rsidRDefault="00F15CAF">
      <w:pPr>
        <w:pStyle w:val="ConsPlusNormal"/>
        <w:jc w:val="right"/>
      </w:pPr>
      <w:r>
        <w:lastRenderedPageBreak/>
        <w:t>к приказу Минсельхоза России</w:t>
      </w:r>
    </w:p>
    <w:p w:rsidR="00F15CAF" w:rsidRDefault="00F15CAF">
      <w:pPr>
        <w:pStyle w:val="ConsPlusNormal"/>
        <w:jc w:val="right"/>
      </w:pPr>
      <w:r>
        <w:t>от 19.05.2022 г. N 299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</w:pPr>
      <w:r>
        <w:t>Форма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bookmarkStart w:id="16" w:name="P148"/>
      <w:bookmarkEnd w:id="16"/>
      <w:r>
        <w:t xml:space="preserve">                                  РЕЕСТР</w:t>
      </w:r>
    </w:p>
    <w:p w:rsidR="00F15CAF" w:rsidRDefault="00F15CAF">
      <w:pPr>
        <w:pStyle w:val="ConsPlusNonformat"/>
        <w:jc w:val="both"/>
      </w:pPr>
      <w:r>
        <w:t xml:space="preserve">                          потенциальных заемщиков</w:t>
      </w:r>
    </w:p>
    <w:p w:rsidR="00F15CAF" w:rsidRDefault="00F15CAF">
      <w:pPr>
        <w:pStyle w:val="ConsPlusNonformat"/>
        <w:jc w:val="both"/>
      </w:pPr>
      <w:r>
        <w:t xml:space="preserve">                  по состоянию на ____________ 20__ года</w:t>
      </w:r>
    </w:p>
    <w:p w:rsidR="00F15CAF" w:rsidRDefault="00F15CAF">
      <w:pPr>
        <w:pStyle w:val="ConsPlusNonformat"/>
        <w:jc w:val="both"/>
      </w:pPr>
      <w:r>
        <w:t xml:space="preserve">                                      дата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>Наименование банка:</w:t>
      </w:r>
    </w:p>
    <w:p w:rsidR="00F15CAF" w:rsidRDefault="00F15CAF">
      <w:pPr>
        <w:pStyle w:val="ConsPlusNonformat"/>
        <w:jc w:val="both"/>
      </w:pPr>
      <w:r>
        <w:t>БИК банка:</w:t>
      </w:r>
    </w:p>
    <w:p w:rsidR="00F15CAF" w:rsidRDefault="00F15CAF">
      <w:pPr>
        <w:pStyle w:val="ConsPlusNonformat"/>
        <w:jc w:val="both"/>
      </w:pPr>
      <w:r>
        <w:t>ИНН банка: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sectPr w:rsidR="00F15CAF" w:rsidSect="00F01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9"/>
        <w:gridCol w:w="739"/>
        <w:gridCol w:w="744"/>
        <w:gridCol w:w="590"/>
        <w:gridCol w:w="878"/>
        <w:gridCol w:w="734"/>
        <w:gridCol w:w="734"/>
        <w:gridCol w:w="806"/>
        <w:gridCol w:w="662"/>
        <w:gridCol w:w="744"/>
        <w:gridCol w:w="730"/>
        <w:gridCol w:w="619"/>
        <w:gridCol w:w="974"/>
        <w:gridCol w:w="864"/>
        <w:gridCol w:w="835"/>
        <w:gridCol w:w="720"/>
        <w:gridCol w:w="1077"/>
        <w:gridCol w:w="624"/>
        <w:gridCol w:w="510"/>
        <w:gridCol w:w="878"/>
        <w:gridCol w:w="898"/>
        <w:gridCol w:w="734"/>
        <w:gridCol w:w="446"/>
        <w:gridCol w:w="586"/>
        <w:gridCol w:w="600"/>
        <w:gridCol w:w="499"/>
        <w:gridCol w:w="490"/>
        <w:gridCol w:w="499"/>
        <w:gridCol w:w="734"/>
        <w:gridCol w:w="749"/>
        <w:gridCol w:w="912"/>
      </w:tblGrid>
      <w:tr w:rsidR="00F15CAF">
        <w:tc>
          <w:tcPr>
            <w:tcW w:w="56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4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73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Дата поступления заявки в банк</w:t>
            </w:r>
          </w:p>
        </w:tc>
        <w:tc>
          <w:tcPr>
            <w:tcW w:w="74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юридического лица или Ф.И.О. индивидуального предпринимателя </w:t>
            </w:r>
            <w:hyperlink w:anchor="P37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878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Статус заемщика </w:t>
            </w:r>
            <w:hyperlink w:anchor="P37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Принадлежность к малым формам хозяйствования</w:t>
            </w:r>
          </w:p>
        </w:tc>
        <w:tc>
          <w:tcPr>
            <w:tcW w:w="73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Повторность поступления реестра потенциальных заемщиков</w:t>
            </w:r>
          </w:p>
        </w:tc>
        <w:tc>
          <w:tcPr>
            <w:tcW w:w="80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субъекта Российской Федерации, с которым заключено СПК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62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ОКТМО</w:t>
              </w:r>
            </w:hyperlink>
            <w:r>
              <w:t xml:space="preserve"> субъекта Российской Федерации, с которым заключено СПК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4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73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61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97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Идентификационный номер льготного краткосрочного кредита/льготного инвестиционного кредита</w:t>
            </w:r>
          </w:p>
        </w:tc>
        <w:tc>
          <w:tcPr>
            <w:tcW w:w="86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835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Стоимость инвестиционного проекта </w:t>
            </w:r>
            <w:hyperlink w:anchor="P375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2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Срок кредитования (до 1 года, от 2 до 5 лет, от 2 до 8 лет, от 2 до 15 лет)</w:t>
            </w:r>
          </w:p>
        </w:tc>
        <w:tc>
          <w:tcPr>
            <w:tcW w:w="2211" w:type="dxa"/>
            <w:gridSpan w:val="3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Реквизиты положительного решения о кредитовании заемщика</w:t>
            </w:r>
          </w:p>
        </w:tc>
        <w:tc>
          <w:tcPr>
            <w:tcW w:w="878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Планируемый размер эффективной процентной ставки по кредитному договору (соглашению)</w:t>
            </w:r>
          </w:p>
        </w:tc>
        <w:tc>
          <w:tcPr>
            <w:tcW w:w="898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73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Наличие заключенного кредитного договора (соглашения) </w:t>
            </w:r>
            <w:hyperlink w:anchor="P376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44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Номер СПК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74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  <w:tc>
          <w:tcPr>
            <w:tcW w:w="2395" w:type="dxa"/>
            <w:gridSpan w:val="3"/>
          </w:tcPr>
          <w:p w:rsidR="00F15CAF" w:rsidRDefault="00F15CAF">
            <w:pPr>
              <w:pStyle w:val="ConsPlusNormal"/>
              <w:jc w:val="center"/>
            </w:pPr>
            <w:r>
              <w:t xml:space="preserve">Информация о рефинансируемом кредите </w:t>
            </w:r>
            <w:hyperlink w:anchor="P377">
              <w:r>
                <w:rPr>
                  <w:color w:val="0000FF"/>
                </w:rPr>
                <w:t>&lt;******&gt;</w:t>
              </w:r>
            </w:hyperlink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0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7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9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на весь срок кредита</w:t>
            </w:r>
          </w:p>
        </w:tc>
        <w:tc>
          <w:tcPr>
            <w:tcW w:w="60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488" w:type="dxa"/>
            <w:gridSpan w:val="3"/>
          </w:tcPr>
          <w:p w:rsidR="00F15CAF" w:rsidRDefault="00F15CAF">
            <w:pPr>
              <w:pStyle w:val="ConsPlusNormal"/>
              <w:jc w:val="center"/>
            </w:pPr>
            <w:r>
              <w:t>в годах, следующих за отчетным</w:t>
            </w:r>
          </w:p>
        </w:tc>
        <w:tc>
          <w:tcPr>
            <w:tcW w:w="73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Уполномоченный банк</w:t>
            </w:r>
          </w:p>
        </w:tc>
        <w:tc>
          <w:tcPr>
            <w:tcW w:w="74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Дата заключенного льготного инвестиционного кредита</w:t>
            </w:r>
          </w:p>
        </w:tc>
        <w:tc>
          <w:tcPr>
            <w:tcW w:w="912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Номер заключенного льготного кредитного договора</w:t>
            </w:r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0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7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9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0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90" w:type="dxa"/>
          </w:tcPr>
          <w:p w:rsidR="00F15CAF" w:rsidRDefault="00F15CAF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499" w:type="dxa"/>
          </w:tcPr>
          <w:p w:rsidR="00F15CAF" w:rsidRDefault="00F15CAF">
            <w:pPr>
              <w:pStyle w:val="ConsPlusNormal"/>
              <w:jc w:val="center"/>
            </w:pPr>
            <w:r>
              <w:t>в ____ г.</w:t>
            </w: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74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80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7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2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77" w:type="dxa"/>
          </w:tcPr>
          <w:p w:rsidR="00F15CAF" w:rsidRDefault="00F15CAF">
            <w:pPr>
              <w:pStyle w:val="ConsPlusNormal"/>
              <w:jc w:val="center"/>
            </w:pPr>
            <w:r>
              <w:t>Наименование уполномоченного органа уполномоченного банка</w:t>
            </w:r>
          </w:p>
        </w:tc>
        <w:tc>
          <w:tcPr>
            <w:tcW w:w="624" w:type="dxa"/>
          </w:tcPr>
          <w:p w:rsidR="00F15CAF" w:rsidRDefault="00F15CAF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510" w:type="dxa"/>
          </w:tcPr>
          <w:p w:rsidR="00F15CAF" w:rsidRDefault="00F15CAF">
            <w:pPr>
              <w:pStyle w:val="ConsPlusNormal"/>
              <w:jc w:val="center"/>
            </w:pPr>
            <w:r>
              <w:t>Номер решения</w:t>
            </w:r>
          </w:p>
        </w:tc>
        <w:tc>
          <w:tcPr>
            <w:tcW w:w="878" w:type="dxa"/>
          </w:tcPr>
          <w:p w:rsidR="00F15CAF" w:rsidRDefault="00F15CA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98" w:type="dxa"/>
          </w:tcPr>
          <w:p w:rsidR="00F15CAF" w:rsidRDefault="00F15CA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600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9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90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9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0" w:type="dxa"/>
          </w:tcPr>
          <w:p w:rsidR="00F15CAF" w:rsidRDefault="00F1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F15CAF" w:rsidRDefault="00F15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6" w:type="dxa"/>
          </w:tcPr>
          <w:p w:rsidR="00F15CAF" w:rsidRDefault="00F15C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2" w:type="dxa"/>
          </w:tcPr>
          <w:p w:rsidR="00F15CAF" w:rsidRDefault="00F15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F15CAF" w:rsidRDefault="00F15C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4" w:type="dxa"/>
          </w:tcPr>
          <w:p w:rsidR="00F15CAF" w:rsidRDefault="00F15C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4" w:type="dxa"/>
          </w:tcPr>
          <w:p w:rsidR="00F15CAF" w:rsidRDefault="00F15C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5" w:type="dxa"/>
          </w:tcPr>
          <w:p w:rsidR="00F15CAF" w:rsidRDefault="00F15C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F15CAF" w:rsidRDefault="00F15C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15CAF" w:rsidRDefault="00F15C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F15CAF" w:rsidRDefault="00F15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8" w:type="dxa"/>
          </w:tcPr>
          <w:p w:rsidR="00F15CAF" w:rsidRDefault="00F15C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98" w:type="dxa"/>
          </w:tcPr>
          <w:p w:rsidR="00F15CAF" w:rsidRDefault="00F15C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6" w:type="dxa"/>
          </w:tcPr>
          <w:p w:rsidR="00F15CAF" w:rsidRDefault="00F15C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86" w:type="dxa"/>
          </w:tcPr>
          <w:p w:rsidR="00F15CAF" w:rsidRDefault="00F15C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F15CAF" w:rsidRDefault="00F15C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</w:tcPr>
          <w:p w:rsidR="00F15CAF" w:rsidRDefault="00F15C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0" w:type="dxa"/>
          </w:tcPr>
          <w:p w:rsidR="00F15CAF" w:rsidRDefault="00F15C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9" w:type="dxa"/>
          </w:tcPr>
          <w:p w:rsidR="00F15CAF" w:rsidRDefault="00F15C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2" w:type="dxa"/>
          </w:tcPr>
          <w:p w:rsidR="00F15CAF" w:rsidRDefault="00F15CAF">
            <w:pPr>
              <w:pStyle w:val="ConsPlusNormal"/>
              <w:jc w:val="center"/>
            </w:pPr>
            <w:r>
              <w:t>32</w:t>
            </w: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7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1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9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0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7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1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9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0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7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1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9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0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3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7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1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7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9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4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0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9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</w:tr>
    </w:tbl>
    <w:p w:rsidR="00F15CAF" w:rsidRDefault="00F15CAF">
      <w:pPr>
        <w:pStyle w:val="ConsPlusNormal"/>
        <w:sectPr w:rsidR="00F15C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r>
        <w:t>Уполномоченное лицо уполномоченного банка _________  _____________________.</w:t>
      </w:r>
    </w:p>
    <w:p w:rsidR="00F15CAF" w:rsidRDefault="00F15CAF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F15CAF" w:rsidRDefault="00F15CAF">
      <w:pPr>
        <w:pStyle w:val="ConsPlusNonformat"/>
        <w:jc w:val="both"/>
      </w:pPr>
      <w:r>
        <w:t>МП (при наличии)</w:t>
      </w:r>
    </w:p>
    <w:p w:rsidR="00F15CAF" w:rsidRDefault="00F15CAF">
      <w:pPr>
        <w:pStyle w:val="ConsPlusNonformat"/>
        <w:jc w:val="both"/>
      </w:pPr>
      <w:r>
        <w:t>"__" __________ 20__ г.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ind w:firstLine="540"/>
        <w:jc w:val="both"/>
      </w:pPr>
      <w:r>
        <w:t>--------------------------------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7" w:name="P372"/>
      <w:bookmarkEnd w:id="17"/>
      <w:r>
        <w:t>&lt;*&gt; Указывается полное наименование заемщика.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8" w:name="P373"/>
      <w:bookmarkEnd w:id="18"/>
      <w:r>
        <w:t xml:space="preserve">&lt;**&gt; 1 - сельскохозяйственный товаропроизводитель; 2 -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переработку и консервирование рыбы, ракообразных и моллюсков и (или) переработку лесных ресурсов, а также продукции их переработки (в том числе на арендованных основных средствах) и ее реализацию согласно перечню продукции, утверждаемому Правительством Российской Федерации в соответствии с </w:t>
      </w:r>
      <w:hyperlink r:id="rId35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36">
        <w:r>
          <w:rPr>
            <w:color w:val="0000FF"/>
          </w:rPr>
          <w:t>частью 2 статьи 11</w:t>
        </w:r>
      </w:hyperlink>
      <w:r>
        <w:t xml:space="preserve"> Федерального закона "О развитии сельского хозяйства" (Собрание законодательства Российской Федерации, 2007, N 1, ст. 27; 2021, N 27, ст. 5146), прошедшие отбор для заключения соглашения о повышении конкурентоспособности и заключившие соглашение о повышении конкурентоспособности;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лесных ресурсов, а также продукции их переработки и ее реализации, направленные на развитие подотраслей растениеводства и животноводства, рыболовства и рыбоводства (аквакультуры), переработки продукции растениеводства и животноводства, а также продукции ее переработки, переработки и консервирования рыбы, ракообразных и моллюсков согласно перечням продукции, утверждаемым Правительством Российской Федерации в соответствии с </w:t>
      </w:r>
      <w:hyperlink r:id="rId37">
        <w:r>
          <w:rPr>
            <w:color w:val="0000FF"/>
          </w:rPr>
          <w:t>частью 1 статьи 3</w:t>
        </w:r>
      </w:hyperlink>
      <w:r>
        <w:t xml:space="preserve">, </w:t>
      </w:r>
      <w:hyperlink r:id="rId38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39">
        <w:r>
          <w:rPr>
            <w:color w:val="0000FF"/>
          </w:rPr>
          <w:t>частью 2 статьи 11</w:t>
        </w:r>
      </w:hyperlink>
      <w:r>
        <w:t xml:space="preserve"> Федерального закона "О развитии сельского хозяйства", прошедшие отбор для заключения соглашения о повышении конкурентоспособности и заключившие соглашение о повышении конкурентоспособности (у указанных организаций и индивидуальных предпринимателей по истечении 3 лет с даты заключения договора о предоставлении льготного инвестиционного кредита, но не позднее даты окончания срока такого кредита доля дохода от реализации указанной продукции в общем доходе от реализации товаров (работ, услуг) составит не менее 70 процентов за календарный год); 4 - организации и индивидуальные предприниматели, осуществляющие производство и (или) переработку и (или) реализацию сельскохозяйственной продукции, а также продукции ее переработки и (или) оказывающие услуги по перевалке и (или) хранению сельскохозяйственной продукции.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19" w:name="P374"/>
      <w:bookmarkEnd w:id="19"/>
      <w:r>
        <w:t>&lt;***&gt; СПК - соглашение о повышении конкурентоспособности.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0" w:name="P375"/>
      <w:bookmarkEnd w:id="20"/>
      <w:r>
        <w:t>&lt;****&gt; Заполняется для кредитов, реализуемых в рамках инвестиционного проекта.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1" w:name="P376"/>
      <w:bookmarkEnd w:id="21"/>
      <w:r>
        <w:t>&lt;*****&gt; 10 - "нет" для льготных краткосрочных кредитов, планируемых к заключению; 11 - "да" для краткосрочных кредитов, претендующих на установление льготной ставки; 20 - "нет" для льготных инвестиционных кредитов, планируемых к заключению; 21 - "да" для льготных инвестиционных кредитов, претендующих на рефинансирование.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2" w:name="P377"/>
      <w:bookmarkEnd w:id="22"/>
      <w:r>
        <w:t>&lt;******&gt; Заполняется в случае направления заявок на рефинансирование ранее заключенного льготного инвестиционного кредита.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  <w:outlineLvl w:val="1"/>
      </w:pPr>
      <w:r>
        <w:lastRenderedPageBreak/>
        <w:t>Приложение</w:t>
      </w:r>
    </w:p>
    <w:p w:rsidR="00F15CAF" w:rsidRDefault="00F15CAF">
      <w:pPr>
        <w:pStyle w:val="ConsPlusNormal"/>
        <w:jc w:val="right"/>
      </w:pPr>
      <w:r>
        <w:t>к реестру потенциальных заемщиков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r>
        <w:t xml:space="preserve">                                  ГРАФИК</w:t>
      </w:r>
    </w:p>
    <w:p w:rsidR="00F15CAF" w:rsidRDefault="00F15CAF">
      <w:pPr>
        <w:pStyle w:val="ConsPlusNonformat"/>
        <w:jc w:val="both"/>
      </w:pPr>
      <w:r>
        <w:t xml:space="preserve">                     предоставления кредитных ресурсов</w:t>
      </w:r>
    </w:p>
    <w:p w:rsidR="00F15CAF" w:rsidRDefault="00F15CAF">
      <w:pPr>
        <w:pStyle w:val="ConsPlusNonformat"/>
        <w:jc w:val="both"/>
      </w:pPr>
      <w:r>
        <w:t xml:space="preserve">                    по льготным инвестиционным кредитам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>Наименование банка:</w:t>
      </w:r>
    </w:p>
    <w:p w:rsidR="00F15CAF" w:rsidRDefault="00F15CAF">
      <w:pPr>
        <w:pStyle w:val="ConsPlusNonformat"/>
        <w:jc w:val="both"/>
      </w:pPr>
      <w:r>
        <w:t>БИК банка:</w:t>
      </w:r>
    </w:p>
    <w:p w:rsidR="00F15CAF" w:rsidRDefault="00F15CAF">
      <w:pPr>
        <w:pStyle w:val="ConsPlusNonformat"/>
        <w:jc w:val="both"/>
      </w:pPr>
      <w:r>
        <w:t>ИНН банка: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sectPr w:rsidR="00F15CA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64"/>
        <w:gridCol w:w="850"/>
        <w:gridCol w:w="1247"/>
        <w:gridCol w:w="739"/>
        <w:gridCol w:w="744"/>
        <w:gridCol w:w="739"/>
        <w:gridCol w:w="739"/>
        <w:gridCol w:w="1247"/>
        <w:gridCol w:w="734"/>
        <w:gridCol w:w="734"/>
        <w:gridCol w:w="744"/>
        <w:gridCol w:w="739"/>
        <w:gridCol w:w="1247"/>
        <w:gridCol w:w="730"/>
        <w:gridCol w:w="720"/>
        <w:gridCol w:w="725"/>
        <w:gridCol w:w="725"/>
        <w:gridCol w:w="1247"/>
        <w:gridCol w:w="730"/>
        <w:gridCol w:w="725"/>
        <w:gridCol w:w="725"/>
        <w:gridCol w:w="758"/>
      </w:tblGrid>
      <w:tr w:rsidR="00F15CAF">
        <w:tc>
          <w:tcPr>
            <w:tcW w:w="56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96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  <w:tc>
          <w:tcPr>
            <w:tcW w:w="17588" w:type="dxa"/>
            <w:gridSpan w:val="21"/>
          </w:tcPr>
          <w:p w:rsidR="00F15CAF" w:rsidRDefault="00F15CAF">
            <w:pPr>
              <w:pStyle w:val="ConsPlusNormal"/>
              <w:jc w:val="center"/>
            </w:pPr>
            <w:r>
              <w:t>Планируемое предоставление кредитных ресурсов по льготным инвестиционным кредитам, по периодам</w:t>
            </w:r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9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6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50" w:type="dxa"/>
          </w:tcPr>
          <w:p w:rsidR="00F15CAF" w:rsidRDefault="00F15CAF">
            <w:pPr>
              <w:pStyle w:val="ConsPlusNormal"/>
              <w:jc w:val="center"/>
            </w:pPr>
            <w:r>
              <w:t>Всего субсидий на весь срок кредита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Всего субсидий в текущем году (за отчетные месяцы финансового года, за исключением субсидии за декабрь отчетного финансового года)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01.04 накопительным итогом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01.07 накопительным итогом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01.10 накопительным итогом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01.12 накопительным итогом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Всего субсидий в 20__ году (за отчетные месяцы финансового года, за исключением субсидии за декабрь отчетного финансового года)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01.04 накопительным итогом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01.07 накопительным итогом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01.10 накопительным итогом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01.12 накопительным итогом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Всего субсидий в 20__ году (за отчетные месяцы финансового года, за исключением субсидии за декабрь отчетного финансового год)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01.04 накопительным итогом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01.07 накопительным итогом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01.10 накопительным итогом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01.12 накопительным итогом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Всего субсидий в 20__ году (за отчетные месяцы финансового года, за исключением субсидии за декабрь отчетного финансового года)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01.04 накопительным итогом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01.07 накопительным итогом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01.10 накопительным итогом</w:t>
            </w:r>
          </w:p>
        </w:tc>
        <w:tc>
          <w:tcPr>
            <w:tcW w:w="758" w:type="dxa"/>
          </w:tcPr>
          <w:p w:rsidR="00F15CAF" w:rsidRDefault="00F15CAF">
            <w:pPr>
              <w:pStyle w:val="ConsPlusNormal"/>
              <w:jc w:val="center"/>
            </w:pPr>
            <w:r>
              <w:t>Остаток ссудной задолженности на 01.12 накопительным итогом</w:t>
            </w:r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9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64" w:type="dxa"/>
          </w:tcPr>
          <w:p w:rsidR="00F15CAF" w:rsidRDefault="00F15C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58" w:type="dxa"/>
          </w:tcPr>
          <w:p w:rsidR="00F15CAF" w:rsidRDefault="00F15CAF">
            <w:pPr>
              <w:pStyle w:val="ConsPlusNormal"/>
              <w:jc w:val="center"/>
            </w:pPr>
            <w:r>
              <w:t>рублей</w:t>
            </w: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15CAF" w:rsidRDefault="00F1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15CAF" w:rsidRDefault="00F1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4" w:type="dxa"/>
          </w:tcPr>
          <w:p w:rsidR="00F15CAF" w:rsidRDefault="00F15C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4" w:type="dxa"/>
          </w:tcPr>
          <w:p w:rsidR="00F15CAF" w:rsidRDefault="00F15C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F15CAF" w:rsidRDefault="00F15C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F15CAF" w:rsidRDefault="00F15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0" w:type="dxa"/>
          </w:tcPr>
          <w:p w:rsidR="00F15CAF" w:rsidRDefault="00F15C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5" w:type="dxa"/>
          </w:tcPr>
          <w:p w:rsidR="00F15CAF" w:rsidRDefault="00F15C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58" w:type="dxa"/>
          </w:tcPr>
          <w:p w:rsidR="00F15CAF" w:rsidRDefault="00F15CAF">
            <w:pPr>
              <w:pStyle w:val="ConsPlusNormal"/>
              <w:jc w:val="center"/>
            </w:pPr>
            <w:r>
              <w:t>24</w:t>
            </w: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79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5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5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5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9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5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2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</w:tr>
    </w:tbl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r>
        <w:t>Уполномоченное лицо уполномоченного банка _________  _____________________.</w:t>
      </w:r>
    </w:p>
    <w:p w:rsidR="00F15CAF" w:rsidRDefault="00F15CAF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>МП (при наличии)</w:t>
      </w:r>
    </w:p>
    <w:p w:rsidR="00F15CAF" w:rsidRDefault="00F15CAF">
      <w:pPr>
        <w:pStyle w:val="ConsPlusNonformat"/>
        <w:jc w:val="both"/>
      </w:pPr>
      <w:r>
        <w:lastRenderedPageBreak/>
        <w:t>"__" __________ 20__ г.</w:t>
      </w:r>
    </w:p>
    <w:p w:rsidR="00F15CAF" w:rsidRDefault="00F15CAF">
      <w:pPr>
        <w:pStyle w:val="ConsPlusNormal"/>
        <w:sectPr w:rsidR="00F15C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  <w:outlineLvl w:val="0"/>
      </w:pPr>
      <w:r>
        <w:t>Приложение N 3</w:t>
      </w:r>
    </w:p>
    <w:p w:rsidR="00F15CAF" w:rsidRDefault="00F15CAF">
      <w:pPr>
        <w:pStyle w:val="ConsPlusNormal"/>
        <w:jc w:val="right"/>
      </w:pPr>
      <w:r>
        <w:t>к приказу Минсельхоза России</w:t>
      </w:r>
    </w:p>
    <w:p w:rsidR="00F15CAF" w:rsidRDefault="00F15CAF">
      <w:pPr>
        <w:pStyle w:val="ConsPlusNormal"/>
        <w:jc w:val="right"/>
      </w:pPr>
      <w:r>
        <w:t>от 19.05.2022 г. N 299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</w:pPr>
      <w:r>
        <w:t>Форма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bookmarkStart w:id="23" w:name="P578"/>
      <w:bookmarkEnd w:id="23"/>
      <w:r>
        <w:t xml:space="preserve">                                  РЕЕСТР</w:t>
      </w:r>
    </w:p>
    <w:p w:rsidR="00F15CAF" w:rsidRDefault="00F15CAF">
      <w:pPr>
        <w:pStyle w:val="ConsPlusNonformat"/>
        <w:jc w:val="both"/>
      </w:pPr>
      <w:r>
        <w:t xml:space="preserve">                                 заемщиков</w:t>
      </w:r>
    </w:p>
    <w:p w:rsidR="00F15CAF" w:rsidRDefault="00F15CAF">
      <w:pPr>
        <w:pStyle w:val="ConsPlusNonformat"/>
        <w:jc w:val="both"/>
      </w:pPr>
      <w:r>
        <w:t xml:space="preserve">                    по состоянию на __________ 20__ г.</w:t>
      </w:r>
    </w:p>
    <w:p w:rsidR="00F15CAF" w:rsidRDefault="00F15CAF">
      <w:pPr>
        <w:pStyle w:val="ConsPlusNonformat"/>
        <w:jc w:val="both"/>
      </w:pPr>
      <w:r>
        <w:t xml:space="preserve">                                       дата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 xml:space="preserve">    Наименование банка:</w:t>
      </w:r>
    </w:p>
    <w:p w:rsidR="00F15CAF" w:rsidRDefault="00F15CAF">
      <w:pPr>
        <w:pStyle w:val="ConsPlusNonformat"/>
        <w:jc w:val="both"/>
      </w:pPr>
      <w:r>
        <w:t xml:space="preserve">    БИК банка:</w:t>
      </w:r>
    </w:p>
    <w:p w:rsidR="00F15CAF" w:rsidRDefault="00F15CAF">
      <w:pPr>
        <w:pStyle w:val="ConsPlusNonformat"/>
        <w:jc w:val="both"/>
      </w:pPr>
      <w:r>
        <w:t xml:space="preserve">    ИНН банка:</w:t>
      </w:r>
    </w:p>
    <w:p w:rsidR="00F15CAF" w:rsidRDefault="00F15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7"/>
        <w:gridCol w:w="1066"/>
        <w:gridCol w:w="869"/>
        <w:gridCol w:w="538"/>
        <w:gridCol w:w="912"/>
        <w:gridCol w:w="509"/>
        <w:gridCol w:w="624"/>
        <w:gridCol w:w="1003"/>
        <w:gridCol w:w="907"/>
        <w:gridCol w:w="737"/>
        <w:gridCol w:w="737"/>
        <w:gridCol w:w="737"/>
        <w:gridCol w:w="586"/>
        <w:gridCol w:w="907"/>
        <w:gridCol w:w="984"/>
        <w:gridCol w:w="737"/>
        <w:gridCol w:w="715"/>
        <w:gridCol w:w="912"/>
        <w:gridCol w:w="821"/>
        <w:gridCol w:w="720"/>
        <w:gridCol w:w="686"/>
        <w:gridCol w:w="595"/>
        <w:gridCol w:w="590"/>
        <w:gridCol w:w="567"/>
        <w:gridCol w:w="567"/>
        <w:gridCol w:w="470"/>
        <w:gridCol w:w="902"/>
        <w:gridCol w:w="902"/>
      </w:tblGrid>
      <w:tr w:rsidR="00F15CAF">
        <w:tc>
          <w:tcPr>
            <w:tcW w:w="56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106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Идентификационный номер заявки</w:t>
            </w:r>
          </w:p>
        </w:tc>
        <w:tc>
          <w:tcPr>
            <w:tcW w:w="1407" w:type="dxa"/>
            <w:gridSpan w:val="2"/>
          </w:tcPr>
          <w:p w:rsidR="00F15CAF" w:rsidRDefault="00F15CAF">
            <w:pPr>
              <w:pStyle w:val="ConsPlusNormal"/>
              <w:jc w:val="center"/>
            </w:pPr>
            <w:r>
              <w:t>Реквизиты письма Минсельхоза России о включении</w:t>
            </w:r>
          </w:p>
        </w:tc>
        <w:tc>
          <w:tcPr>
            <w:tcW w:w="912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юридического лица или Ф.И.О. индивидуального предпринимателя </w:t>
            </w:r>
            <w:hyperlink w:anchor="P7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62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Статус заемщика </w:t>
            </w:r>
            <w:hyperlink w:anchor="P75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03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субъекта Российской Федерации, с которым заключено СПК </w:t>
            </w:r>
            <w:hyperlink w:anchor="P75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ОКТМО</w:t>
              </w:r>
            </w:hyperlink>
            <w:r>
              <w:t xml:space="preserve"> субъекта Российской Федерации, с которым заключено СПК </w:t>
            </w:r>
            <w:hyperlink w:anchor="P75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Дата заявления кредитного договора (соглашения)</w:t>
            </w:r>
          </w:p>
        </w:tc>
        <w:tc>
          <w:tcPr>
            <w:tcW w:w="73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Код направления использования кредита</w:t>
            </w:r>
          </w:p>
        </w:tc>
        <w:tc>
          <w:tcPr>
            <w:tcW w:w="73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58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90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Идентификационный номер льготного краткосрочного кредита/льготного инвестиционного кредита</w:t>
            </w:r>
          </w:p>
        </w:tc>
        <w:tc>
          <w:tcPr>
            <w:tcW w:w="98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73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Стоимость инвестиционного проекта </w:t>
            </w:r>
            <w:hyperlink w:anchor="P759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15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Номер СПК </w:t>
            </w:r>
            <w:hyperlink w:anchor="P75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12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Срок кредитования (до 1 года, от 2 до 5 лет, от 2 до 8 лет, от 2 до 15 лет)</w:t>
            </w:r>
          </w:p>
        </w:tc>
        <w:tc>
          <w:tcPr>
            <w:tcW w:w="821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Размер процентной ставки по кредитному договору (соглашению)</w:t>
            </w:r>
          </w:p>
        </w:tc>
        <w:tc>
          <w:tcPr>
            <w:tcW w:w="72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Наличие заключенного кредитного договора (соглашения) </w:t>
            </w:r>
            <w:hyperlink w:anchor="P760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005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t>Размер причитающихся субсидий</w:t>
            </w:r>
          </w:p>
        </w:tc>
        <w:tc>
          <w:tcPr>
            <w:tcW w:w="2274" w:type="dxa"/>
            <w:gridSpan w:val="3"/>
          </w:tcPr>
          <w:p w:rsidR="00F15CAF" w:rsidRDefault="00F15CAF">
            <w:pPr>
              <w:pStyle w:val="ConsPlusNormal"/>
              <w:jc w:val="center"/>
            </w:pPr>
            <w:r>
              <w:t xml:space="preserve">Информация о рефинансируемом кредите </w:t>
            </w:r>
            <w:hyperlink w:anchor="P761">
              <w:r>
                <w:rPr>
                  <w:color w:val="0000FF"/>
                </w:rPr>
                <w:t>&lt;******&gt;</w:t>
              </w:r>
            </w:hyperlink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8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6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6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Дата одобрения</w:t>
            </w:r>
          </w:p>
        </w:tc>
        <w:tc>
          <w:tcPr>
            <w:tcW w:w="538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Номер письма</w:t>
            </w: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0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8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15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21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8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на весь срок кредита</w:t>
            </w:r>
          </w:p>
        </w:tc>
        <w:tc>
          <w:tcPr>
            <w:tcW w:w="595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724" w:type="dxa"/>
            <w:gridSpan w:val="3"/>
          </w:tcPr>
          <w:p w:rsidR="00F15CAF" w:rsidRDefault="00F15CAF">
            <w:pPr>
              <w:pStyle w:val="ConsPlusNormal"/>
              <w:jc w:val="center"/>
            </w:pPr>
            <w:r>
              <w:t>в годах, следующих за отчетным</w:t>
            </w:r>
          </w:p>
        </w:tc>
        <w:tc>
          <w:tcPr>
            <w:tcW w:w="47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Уполномоченный банк</w:t>
            </w:r>
          </w:p>
        </w:tc>
        <w:tc>
          <w:tcPr>
            <w:tcW w:w="902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Дата заключенного льготного инвестиционного кредита</w:t>
            </w:r>
          </w:p>
        </w:tc>
        <w:tc>
          <w:tcPr>
            <w:tcW w:w="902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Номер заключенного льготного кредитного договора</w:t>
            </w:r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8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6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6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3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0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8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15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21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8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95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7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  <w:vMerge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8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6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69" w:type="dxa"/>
          </w:tcPr>
          <w:p w:rsidR="00F15CAF" w:rsidRDefault="00F15CAF">
            <w:pPr>
              <w:pStyle w:val="ConsPlusNormal"/>
              <w:jc w:val="center"/>
            </w:pPr>
            <w:r>
              <w:t>дд.мм.г</w:t>
            </w:r>
            <w:r>
              <w:lastRenderedPageBreak/>
              <w:t>ггг</w:t>
            </w:r>
          </w:p>
        </w:tc>
        <w:tc>
          <w:tcPr>
            <w:tcW w:w="538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0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10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дд.мм</w:t>
            </w:r>
            <w:r>
              <w:lastRenderedPageBreak/>
              <w:t>.гггг</w:t>
            </w: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  <w:jc w:val="center"/>
            </w:pPr>
            <w:r>
              <w:t>рубл</w:t>
            </w:r>
            <w:r>
              <w:lastRenderedPageBreak/>
              <w:t>ей</w:t>
            </w:r>
          </w:p>
        </w:tc>
        <w:tc>
          <w:tcPr>
            <w:tcW w:w="90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8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рубле</w:t>
            </w:r>
            <w:r>
              <w:lastRenderedPageBreak/>
              <w:t>й</w:t>
            </w:r>
          </w:p>
        </w:tc>
        <w:tc>
          <w:tcPr>
            <w:tcW w:w="715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821" w:type="dxa"/>
          </w:tcPr>
          <w:p w:rsidR="00F15CAF" w:rsidRDefault="00F15CAF">
            <w:pPr>
              <w:pStyle w:val="ConsPlusNormal"/>
              <w:jc w:val="center"/>
            </w:pPr>
            <w:r>
              <w:t>процен</w:t>
            </w:r>
            <w:r>
              <w:lastRenderedPageBreak/>
              <w:t>т</w:t>
            </w:r>
          </w:p>
        </w:tc>
        <w:tc>
          <w:tcPr>
            <w:tcW w:w="72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86" w:type="dxa"/>
          </w:tcPr>
          <w:p w:rsidR="00F15CAF" w:rsidRDefault="00F15CAF">
            <w:pPr>
              <w:pStyle w:val="ConsPlusNormal"/>
              <w:jc w:val="center"/>
            </w:pPr>
            <w:r>
              <w:t>рубле</w:t>
            </w:r>
            <w:r>
              <w:lastRenderedPageBreak/>
              <w:t>й</w:t>
            </w:r>
          </w:p>
        </w:tc>
        <w:tc>
          <w:tcPr>
            <w:tcW w:w="595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рубл</w:t>
            </w:r>
            <w:r>
              <w:lastRenderedPageBreak/>
              <w:t>ей</w:t>
            </w:r>
          </w:p>
        </w:tc>
        <w:tc>
          <w:tcPr>
            <w:tcW w:w="590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рубл</w:t>
            </w:r>
            <w:r>
              <w:lastRenderedPageBreak/>
              <w:t>ей</w:t>
            </w:r>
          </w:p>
        </w:tc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руб</w:t>
            </w:r>
            <w:r>
              <w:lastRenderedPageBreak/>
              <w:t>лей</w:t>
            </w:r>
          </w:p>
        </w:tc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руб</w:t>
            </w:r>
            <w:r>
              <w:lastRenderedPageBreak/>
              <w:t>лей</w:t>
            </w:r>
          </w:p>
        </w:tc>
        <w:tc>
          <w:tcPr>
            <w:tcW w:w="47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  <w:vMerge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</w:tcPr>
          <w:p w:rsidR="00F15CAF" w:rsidRDefault="00F1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F15CAF" w:rsidRDefault="00F1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" w:type="dxa"/>
          </w:tcPr>
          <w:p w:rsidR="00F15CAF" w:rsidRDefault="00F1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F15CAF" w:rsidRDefault="00F15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9" w:type="dxa"/>
          </w:tcPr>
          <w:p w:rsidR="00F15CAF" w:rsidRDefault="00F15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15CAF" w:rsidRDefault="00F15C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F15CAF" w:rsidRDefault="00F15C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15CAF" w:rsidRDefault="00F15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F15CAF" w:rsidRDefault="00F15C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15CAF" w:rsidRDefault="00F15C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4" w:type="dxa"/>
          </w:tcPr>
          <w:p w:rsidR="00F15CAF" w:rsidRDefault="00F15C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5" w:type="dxa"/>
          </w:tcPr>
          <w:p w:rsidR="00F15CAF" w:rsidRDefault="00F15C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F15CAF" w:rsidRDefault="00F15C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1" w:type="dxa"/>
          </w:tcPr>
          <w:p w:rsidR="00F15CAF" w:rsidRDefault="00F15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F15CAF" w:rsidRDefault="00F15C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" w:type="dxa"/>
          </w:tcPr>
          <w:p w:rsidR="00F15CAF" w:rsidRDefault="00F15C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0" w:type="dxa"/>
          </w:tcPr>
          <w:p w:rsidR="00F15CAF" w:rsidRDefault="00F15C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15CAF" w:rsidRDefault="00F15C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" w:type="dxa"/>
          </w:tcPr>
          <w:p w:rsidR="00F15CAF" w:rsidRDefault="00F15C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2" w:type="dxa"/>
          </w:tcPr>
          <w:p w:rsidR="00F15CAF" w:rsidRDefault="00F15C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2" w:type="dxa"/>
          </w:tcPr>
          <w:p w:rsidR="00F15CAF" w:rsidRDefault="00F15CAF">
            <w:pPr>
              <w:pStyle w:val="ConsPlusNormal"/>
              <w:jc w:val="center"/>
            </w:pPr>
            <w:r>
              <w:t>29</w:t>
            </w:r>
          </w:p>
        </w:tc>
      </w:tr>
      <w:tr w:rsidR="00F15CAF">
        <w:tc>
          <w:tcPr>
            <w:tcW w:w="567" w:type="dxa"/>
            <w:vAlign w:val="center"/>
          </w:tcPr>
          <w:p w:rsidR="00F15CAF" w:rsidRDefault="00F15CAF">
            <w:pPr>
              <w:pStyle w:val="ConsPlusNormal"/>
            </w:pPr>
            <w:r>
              <w:t>Итого:</w:t>
            </w:r>
          </w:p>
        </w:tc>
        <w:tc>
          <w:tcPr>
            <w:tcW w:w="78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3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0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1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2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8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3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0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1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2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8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3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0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10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1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1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2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9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902" w:type="dxa"/>
          </w:tcPr>
          <w:p w:rsidR="00F15CAF" w:rsidRDefault="00F15CAF">
            <w:pPr>
              <w:pStyle w:val="ConsPlusNormal"/>
            </w:pPr>
          </w:p>
        </w:tc>
      </w:tr>
    </w:tbl>
    <w:p w:rsidR="00F15CAF" w:rsidRDefault="00F15CAF">
      <w:pPr>
        <w:pStyle w:val="ConsPlusNormal"/>
        <w:sectPr w:rsidR="00F15C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r>
        <w:t xml:space="preserve">    Уполномоченное лицо</w:t>
      </w:r>
    </w:p>
    <w:p w:rsidR="00F15CAF" w:rsidRDefault="00F15CAF">
      <w:pPr>
        <w:pStyle w:val="ConsPlusNonformat"/>
        <w:jc w:val="both"/>
      </w:pPr>
      <w:r>
        <w:t xml:space="preserve">    уполномоченного банка                 _________  _____________________.</w:t>
      </w:r>
    </w:p>
    <w:p w:rsidR="00F15CAF" w:rsidRDefault="00F15CAF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 xml:space="preserve">    МП (при наличии)</w:t>
      </w:r>
    </w:p>
    <w:p w:rsidR="00F15CAF" w:rsidRDefault="00F15CAF">
      <w:pPr>
        <w:pStyle w:val="ConsPlusNonformat"/>
        <w:jc w:val="both"/>
      </w:pPr>
      <w:r>
        <w:t xml:space="preserve">    "__" __________ 20__ г.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ind w:firstLine="540"/>
        <w:jc w:val="both"/>
      </w:pPr>
      <w:r>
        <w:t>--------------------------------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4" w:name="P756"/>
      <w:bookmarkEnd w:id="24"/>
      <w:r>
        <w:t>&lt;*&gt; Указывается полное наименование заемщика.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5" w:name="P757"/>
      <w:bookmarkEnd w:id="25"/>
      <w:r>
        <w:t xml:space="preserve">&lt;**&gt; 1 - сельскохозяйственный товаропроизводитель; 2 -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переработку и консервирование рыбы, ракообразных и моллюсков и (или) переработку лесных ресурсов, а также продукции их переработки (в том числе на арендованных основных средствах) и ее реализацию согласно перечню продукции, утверждаемому Правительством Российской Федерации в соответствии с </w:t>
      </w:r>
      <w:hyperlink r:id="rId41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42">
        <w:r>
          <w:rPr>
            <w:color w:val="0000FF"/>
          </w:rPr>
          <w:t>частью 2 статьи 11</w:t>
        </w:r>
      </w:hyperlink>
      <w:r>
        <w:t xml:space="preserve"> Федерального закона "О развитии сельского хозяйства" (Собрание законодательства Российской Федерации, 2007, N 1, ст. 27; 2021, N 27, ст. 5146), прошедшие отбор для заключения соглашения о повышении конкурентоспособности и заключившие соглашение о повышении конкурентоспособности; 3 - организации и индивидуальные предприниматели, реализующие инвестиционные проекты по производству и (или) первичной и (или) последующей (промышленной) переработке сельскохозяйственной продукции и лесных ресурсов, а также продукции их переработки и ее реализации, направленные на развитие подотраслей растениеводства и животноводства, рыболовства и рыбоводства (аквакультуры), переработки продукции растениеводства и животноводства, а также продукции ее переработки, переработки и консервирования рыбы, ракообразных и моллюсков согласно перечням продукции, утверждаемым Правительством Российской Федерации в соответствии с </w:t>
      </w:r>
      <w:hyperlink r:id="rId43">
        <w:r>
          <w:rPr>
            <w:color w:val="0000FF"/>
          </w:rPr>
          <w:t>частью 1 статьи 3</w:t>
        </w:r>
      </w:hyperlink>
      <w:r>
        <w:t xml:space="preserve">, </w:t>
      </w:r>
      <w:hyperlink r:id="rId44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45">
        <w:r>
          <w:rPr>
            <w:color w:val="0000FF"/>
          </w:rPr>
          <w:t>частью 2 статьи 11</w:t>
        </w:r>
      </w:hyperlink>
      <w:r>
        <w:t xml:space="preserve"> Федерального закона "О развитии сельского хозяйства", прошедшие отбор для заключения соглашения о повышении конкурентоспособности и заключившие соглашение о повышении конкурентоспособности (у указанных организаций и индивидуальных предпринимателей по истечении 3 лет с даты заключения договора о предоставлении льготного инвестиционного кредита, но не позднее даты окончания срока такого кредита доля дохода от реализации указанной продукции в общем доходе от реализации товаров (работ, услуг) составит не менее 70 процентов за календарный год); 4 - организации и индивидуальные предприниматели, осуществляющие производство и (или) переработку и (или) реализацию сельскохозяйственной продукции, а также продукции ее переработки и (или) оказывающие услуги по перевалке и (или) хранению сельскохозяйственной продукции.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6" w:name="P758"/>
      <w:bookmarkEnd w:id="26"/>
      <w:r>
        <w:t>&lt;***&gt; СПК - соглашение о повышении конкурентоспособности.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7" w:name="P759"/>
      <w:bookmarkEnd w:id="27"/>
      <w:r>
        <w:t>&lt;****&gt; Заполняется для кредитов, реализуемых в рамках инвестиционного проекта.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8" w:name="P760"/>
      <w:bookmarkEnd w:id="28"/>
      <w:r>
        <w:t>&lt;*****&gt; 10 - "нет" для льготных краткосрочных кредитов, планируемых к заключению; 11 - "да" для краткосрочных кредитов, претендующих на установление льготной ставки; 20 - "нет" для льготных инвестиционных кредитов, планируемых к заключению; 21 - "да" для льготных инвестиционных кредитов, претендующих на рефинансирование.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29" w:name="P761"/>
      <w:bookmarkEnd w:id="29"/>
      <w:r>
        <w:t>&lt;******&gt; Заполняется в случае направления заявок на рефинансирование ранее заключенного льготного инвестиционного кредита.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  <w:outlineLvl w:val="0"/>
      </w:pPr>
      <w:r>
        <w:t>Приложение N 4</w:t>
      </w:r>
    </w:p>
    <w:p w:rsidR="00F15CAF" w:rsidRDefault="00F15CAF">
      <w:pPr>
        <w:pStyle w:val="ConsPlusNormal"/>
        <w:jc w:val="right"/>
      </w:pPr>
      <w:r>
        <w:t>к приказу Минсельхоза России</w:t>
      </w:r>
    </w:p>
    <w:p w:rsidR="00F15CAF" w:rsidRDefault="00F15CAF">
      <w:pPr>
        <w:pStyle w:val="ConsPlusNormal"/>
        <w:jc w:val="right"/>
      </w:pPr>
      <w:r>
        <w:t>от 19.05.2022 г. N 299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</w:pPr>
      <w:r>
        <w:t>Форма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bookmarkStart w:id="30" w:name="P773"/>
      <w:bookmarkEnd w:id="30"/>
      <w:r>
        <w:t xml:space="preserve">                                  ЗАЯВКА</w:t>
      </w:r>
    </w:p>
    <w:p w:rsidR="00F15CAF" w:rsidRDefault="00F15CAF">
      <w:pPr>
        <w:pStyle w:val="ConsPlusNonformat"/>
        <w:jc w:val="both"/>
      </w:pPr>
      <w:r>
        <w:t xml:space="preserve">                         на перечисление субсидий, планируемых</w:t>
      </w:r>
    </w:p>
    <w:p w:rsidR="00F15CAF" w:rsidRDefault="00F15CAF">
      <w:pPr>
        <w:pStyle w:val="ConsPlusNonformat"/>
        <w:jc w:val="both"/>
      </w:pPr>
      <w:r>
        <w:t xml:space="preserve">      к выдаче ____________________________________ в очередном году</w:t>
      </w:r>
    </w:p>
    <w:p w:rsidR="00F15CAF" w:rsidRDefault="00F15CAF">
      <w:pPr>
        <w:pStyle w:val="ConsPlusNonformat"/>
        <w:jc w:val="both"/>
      </w:pPr>
      <w:r>
        <w:t xml:space="preserve">               (наименование уполномоченного банка)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sectPr w:rsidR="00F15CA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667"/>
        <w:gridCol w:w="758"/>
        <w:gridCol w:w="547"/>
        <w:gridCol w:w="619"/>
        <w:gridCol w:w="403"/>
        <w:gridCol w:w="749"/>
        <w:gridCol w:w="643"/>
        <w:gridCol w:w="374"/>
        <w:gridCol w:w="706"/>
        <w:gridCol w:w="720"/>
        <w:gridCol w:w="720"/>
        <w:gridCol w:w="576"/>
        <w:gridCol w:w="571"/>
        <w:gridCol w:w="437"/>
        <w:gridCol w:w="682"/>
        <w:gridCol w:w="682"/>
        <w:gridCol w:w="682"/>
        <w:gridCol w:w="484"/>
        <w:gridCol w:w="484"/>
        <w:gridCol w:w="484"/>
        <w:gridCol w:w="484"/>
        <w:gridCol w:w="484"/>
        <w:gridCol w:w="484"/>
        <w:gridCol w:w="484"/>
        <w:gridCol w:w="484"/>
        <w:gridCol w:w="566"/>
        <w:gridCol w:w="379"/>
        <w:gridCol w:w="413"/>
        <w:gridCol w:w="475"/>
        <w:gridCol w:w="389"/>
        <w:gridCol w:w="864"/>
        <w:gridCol w:w="470"/>
        <w:gridCol w:w="379"/>
        <w:gridCol w:w="418"/>
        <w:gridCol w:w="480"/>
        <w:gridCol w:w="418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F15CAF">
        <w:tc>
          <w:tcPr>
            <w:tcW w:w="4170" w:type="dxa"/>
            <w:gridSpan w:val="7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665" w:type="dxa"/>
            <w:gridSpan w:val="19"/>
          </w:tcPr>
          <w:p w:rsidR="00F15CAF" w:rsidRDefault="00F15CAF">
            <w:pPr>
              <w:pStyle w:val="ConsPlusNormal"/>
              <w:jc w:val="center"/>
            </w:pPr>
            <w:r>
              <w:t>Выданные в текущем финансовом году льготные кредиты, в рублях</w:t>
            </w:r>
          </w:p>
        </w:tc>
        <w:tc>
          <w:tcPr>
            <w:tcW w:w="9123" w:type="dxa"/>
            <w:gridSpan w:val="19"/>
          </w:tcPr>
          <w:p w:rsidR="00F15CAF" w:rsidRDefault="00F15CAF">
            <w:pPr>
              <w:pStyle w:val="ConsPlusNormal"/>
              <w:jc w:val="center"/>
            </w:pPr>
            <w:r>
              <w:t>Планируемые к выдаче льготные кредиты в очередном финансовом году, в рублях</w:t>
            </w:r>
          </w:p>
        </w:tc>
      </w:tr>
      <w:tr w:rsidR="00F15CAF">
        <w:tc>
          <w:tcPr>
            <w:tcW w:w="42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758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54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61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403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Номер СПК </w:t>
            </w:r>
            <w:hyperlink w:anchor="P11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субъекта Российской Федерации, с которым заключено соглашение СПК </w:t>
            </w:r>
            <w:hyperlink w:anchor="P11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3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t>Льготные краткосрочные кредиты</w:t>
            </w:r>
          </w:p>
        </w:tc>
        <w:tc>
          <w:tcPr>
            <w:tcW w:w="7502" w:type="dxa"/>
            <w:gridSpan w:val="14"/>
          </w:tcPr>
          <w:p w:rsidR="00F15CAF" w:rsidRDefault="00F15CAF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  <w:tc>
          <w:tcPr>
            <w:tcW w:w="3086" w:type="dxa"/>
            <w:gridSpan w:val="6"/>
          </w:tcPr>
          <w:p w:rsidR="00F15CAF" w:rsidRDefault="00F15CAF">
            <w:pPr>
              <w:pStyle w:val="ConsPlusNormal"/>
              <w:jc w:val="center"/>
            </w:pPr>
            <w:r>
              <w:t>Льготные краткосрочные кредиты</w:t>
            </w:r>
          </w:p>
        </w:tc>
        <w:tc>
          <w:tcPr>
            <w:tcW w:w="6037" w:type="dxa"/>
            <w:gridSpan w:val="13"/>
          </w:tcPr>
          <w:p w:rsidR="00F15CAF" w:rsidRDefault="00F15CAF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</w:tr>
      <w:tr w:rsidR="00F15CAF">
        <w:tc>
          <w:tcPr>
            <w:tcW w:w="42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2520" w:type="dxa"/>
            <w:gridSpan w:val="4"/>
          </w:tcPr>
          <w:p w:rsidR="00F15CAF" w:rsidRDefault="00F15CAF">
            <w:pPr>
              <w:pStyle w:val="ConsPlusNormal"/>
              <w:jc w:val="center"/>
            </w:pPr>
            <w:r>
              <w:t>Объем причитающихся субсидий</w:t>
            </w:r>
          </w:p>
        </w:tc>
        <w:tc>
          <w:tcPr>
            <w:tcW w:w="57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Фактически выданный объем кредитов</w:t>
            </w:r>
          </w:p>
        </w:tc>
        <w:tc>
          <w:tcPr>
            <w:tcW w:w="571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Принадлежность к рефинансируемому кредиту</w:t>
            </w:r>
          </w:p>
        </w:tc>
        <w:tc>
          <w:tcPr>
            <w:tcW w:w="2483" w:type="dxa"/>
            <w:gridSpan w:val="4"/>
          </w:tcPr>
          <w:p w:rsidR="00F15CAF" w:rsidRDefault="00F15CAF">
            <w:pPr>
              <w:pStyle w:val="ConsPlusNormal"/>
              <w:jc w:val="center"/>
            </w:pPr>
            <w:r>
              <w:t>Объем причитающихся субсидий</w:t>
            </w:r>
          </w:p>
        </w:tc>
        <w:tc>
          <w:tcPr>
            <w:tcW w:w="3872" w:type="dxa"/>
            <w:gridSpan w:val="8"/>
          </w:tcPr>
          <w:p w:rsidR="00F15CAF" w:rsidRDefault="00F15CAF">
            <w:pPr>
              <w:pStyle w:val="ConsPlusNormal"/>
              <w:jc w:val="center"/>
            </w:pPr>
            <w:r>
              <w:t>Объем причитающихся субсидий в последующих финансовых годах</w:t>
            </w:r>
          </w:p>
        </w:tc>
        <w:tc>
          <w:tcPr>
            <w:tcW w:w="56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Плановый объем кредитов</w:t>
            </w:r>
          </w:p>
        </w:tc>
        <w:tc>
          <w:tcPr>
            <w:tcW w:w="1656" w:type="dxa"/>
            <w:gridSpan w:val="4"/>
          </w:tcPr>
          <w:p w:rsidR="00F15CAF" w:rsidRDefault="00F15CAF">
            <w:pPr>
              <w:pStyle w:val="ConsPlusNormal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86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Плановый объем причитающихся субсидий в следующем финансовом году</w:t>
            </w:r>
          </w:p>
        </w:tc>
        <w:tc>
          <w:tcPr>
            <w:tcW w:w="47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Плановый объем кредитов</w:t>
            </w:r>
          </w:p>
        </w:tc>
        <w:tc>
          <w:tcPr>
            <w:tcW w:w="1695" w:type="dxa"/>
            <w:gridSpan w:val="4"/>
          </w:tcPr>
          <w:p w:rsidR="00F15CAF" w:rsidRDefault="00F15CAF">
            <w:pPr>
              <w:pStyle w:val="ConsPlusNormal"/>
              <w:jc w:val="center"/>
            </w:pPr>
            <w:r>
              <w:t>Плановый объем причитающихся субсидий в очередном финансовом году</w:t>
            </w:r>
          </w:p>
        </w:tc>
        <w:tc>
          <w:tcPr>
            <w:tcW w:w="3872" w:type="dxa"/>
            <w:gridSpan w:val="8"/>
          </w:tcPr>
          <w:p w:rsidR="00F15CAF" w:rsidRDefault="00F15CAF">
            <w:pPr>
              <w:pStyle w:val="ConsPlusNormal"/>
              <w:jc w:val="center"/>
            </w:pPr>
            <w:r>
              <w:t>Плановый объем причитающихся субсидий в последующих финансовых годах</w:t>
            </w:r>
          </w:p>
        </w:tc>
      </w:tr>
      <w:tr w:rsidR="00F15CAF">
        <w:tc>
          <w:tcPr>
            <w:tcW w:w="42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6" w:type="dxa"/>
          </w:tcPr>
          <w:p w:rsidR="00F15CAF" w:rsidRDefault="00F15CAF">
            <w:pPr>
              <w:pStyle w:val="ConsPlusNormal"/>
              <w:jc w:val="center"/>
            </w:pPr>
            <w:r>
              <w:t>декабрь, текущего отчетного года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январь, очередного финансового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февраль, очередного финансового</w:t>
            </w:r>
          </w:p>
        </w:tc>
        <w:tc>
          <w:tcPr>
            <w:tcW w:w="57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37" w:type="dxa"/>
          </w:tcPr>
          <w:p w:rsidR="00F15CAF" w:rsidRDefault="00F15C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декабрь, текущего отчетного года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январь, очередного финансового года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февраль, очередного финансового года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56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" w:type="dxa"/>
          </w:tcPr>
          <w:p w:rsidR="00F15CAF" w:rsidRDefault="00F15CA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75" w:type="dxa"/>
          </w:tcPr>
          <w:p w:rsidR="00F15CAF" w:rsidRDefault="00F15CAF">
            <w:pPr>
              <w:pStyle w:val="ConsPlusNormal"/>
              <w:jc w:val="center"/>
            </w:pPr>
            <w:r>
              <w:t>февраль 1</w:t>
            </w:r>
          </w:p>
        </w:tc>
        <w:tc>
          <w:tcPr>
            <w:tcW w:w="389" w:type="dxa"/>
          </w:tcPr>
          <w:p w:rsidR="00F15CAF" w:rsidRDefault="00F15CA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6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80" w:type="dxa"/>
          </w:tcPr>
          <w:p w:rsidR="00F15CAF" w:rsidRDefault="00F15CAF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в ___ г.</w:t>
            </w: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7" w:type="dxa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15CAF" w:rsidRDefault="00F1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dxa"/>
          </w:tcPr>
          <w:p w:rsidR="00F15CAF" w:rsidRDefault="00F1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F15CAF" w:rsidRDefault="00F1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" w:type="dxa"/>
          </w:tcPr>
          <w:p w:rsidR="00F15CAF" w:rsidRDefault="00F15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3" w:type="dxa"/>
          </w:tcPr>
          <w:p w:rsidR="00F15CAF" w:rsidRDefault="00F15C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dxa"/>
          </w:tcPr>
          <w:p w:rsidR="00F15CAF" w:rsidRDefault="00F15C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F15CAF" w:rsidRDefault="00F15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F15CAF" w:rsidRDefault="00F15C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</w:tcPr>
          <w:p w:rsidR="00F15CAF" w:rsidRDefault="00F15C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7" w:type="dxa"/>
          </w:tcPr>
          <w:p w:rsidR="00F15CAF" w:rsidRDefault="00F15C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F15CAF" w:rsidRDefault="00F15C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" w:type="dxa"/>
          </w:tcPr>
          <w:p w:rsidR="00F15CAF" w:rsidRDefault="00F15C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" w:type="dxa"/>
          </w:tcPr>
          <w:p w:rsidR="00F15CAF" w:rsidRDefault="00F15C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5" w:type="dxa"/>
          </w:tcPr>
          <w:p w:rsidR="00F15CAF" w:rsidRDefault="00F15C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9" w:type="dxa"/>
          </w:tcPr>
          <w:p w:rsidR="00F15CAF" w:rsidRDefault="00F15C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4" w:type="dxa"/>
          </w:tcPr>
          <w:p w:rsidR="00F15CAF" w:rsidRDefault="00F15C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" w:type="dxa"/>
          </w:tcPr>
          <w:p w:rsidR="00F15CAF" w:rsidRDefault="00F15C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" w:type="dxa"/>
          </w:tcPr>
          <w:p w:rsidR="00F15CAF" w:rsidRDefault="00F15C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0" w:type="dxa"/>
          </w:tcPr>
          <w:p w:rsidR="00F15CAF" w:rsidRDefault="00F15C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45</w:t>
            </w: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0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</w:tbl>
    <w:p w:rsidR="00F15CAF" w:rsidRDefault="00F15CAF">
      <w:pPr>
        <w:pStyle w:val="ConsPlusNormal"/>
        <w:sectPr w:rsidR="00F15C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r>
        <w:t xml:space="preserve">    Уполномоченное лицо</w:t>
      </w:r>
    </w:p>
    <w:p w:rsidR="00F15CAF" w:rsidRDefault="00F15CAF">
      <w:pPr>
        <w:pStyle w:val="ConsPlusNonformat"/>
        <w:jc w:val="both"/>
      </w:pPr>
      <w:r>
        <w:t xml:space="preserve">    уполномоченного банка                 _________  _____________________.</w:t>
      </w:r>
    </w:p>
    <w:p w:rsidR="00F15CAF" w:rsidRDefault="00F15CAF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 xml:space="preserve">    МП (при наличии)</w:t>
      </w:r>
    </w:p>
    <w:p w:rsidR="00F15CAF" w:rsidRDefault="00F15CAF">
      <w:pPr>
        <w:pStyle w:val="ConsPlusNonformat"/>
        <w:jc w:val="both"/>
      </w:pPr>
      <w:r>
        <w:t xml:space="preserve">    "__" __________ 20__ г.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ind w:firstLine="540"/>
        <w:jc w:val="both"/>
      </w:pPr>
      <w:r>
        <w:t>--------------------------------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31" w:name="P1115"/>
      <w:bookmarkEnd w:id="31"/>
      <w:r>
        <w:t>&lt;*&gt; СПК - соглашение о повышении конкурентоспособности.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  <w:outlineLvl w:val="0"/>
      </w:pPr>
      <w:r>
        <w:t>Приложение N 5</w:t>
      </w:r>
    </w:p>
    <w:p w:rsidR="00F15CAF" w:rsidRDefault="00F15CAF">
      <w:pPr>
        <w:pStyle w:val="ConsPlusNormal"/>
        <w:jc w:val="right"/>
      </w:pPr>
      <w:r>
        <w:t>к приказу Минсельхоза России</w:t>
      </w:r>
    </w:p>
    <w:p w:rsidR="00F15CAF" w:rsidRDefault="00F15CAF">
      <w:pPr>
        <w:pStyle w:val="ConsPlusNormal"/>
        <w:jc w:val="right"/>
      </w:pPr>
      <w:r>
        <w:t>от 19.05.2022 г. N 299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right"/>
      </w:pPr>
      <w:r>
        <w:t>Форма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bookmarkStart w:id="32" w:name="P1127"/>
      <w:bookmarkEnd w:id="32"/>
      <w:r>
        <w:t xml:space="preserve">                Поквартальный расчет потребности в субсидии</w:t>
      </w:r>
    </w:p>
    <w:p w:rsidR="00F15CAF" w:rsidRDefault="00F15CAF">
      <w:pPr>
        <w:pStyle w:val="ConsPlusNonformat"/>
        <w:jc w:val="both"/>
      </w:pPr>
      <w:r>
        <w:t xml:space="preserve">                ___________________________________________</w:t>
      </w:r>
    </w:p>
    <w:p w:rsidR="00F15CAF" w:rsidRDefault="00F15CAF">
      <w:pPr>
        <w:pStyle w:val="ConsPlusNonformat"/>
        <w:jc w:val="both"/>
      </w:pPr>
      <w:r>
        <w:t xml:space="preserve">                   (наименование уполномоченного банка)</w:t>
      </w:r>
    </w:p>
    <w:p w:rsidR="00F15CAF" w:rsidRDefault="00F15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667"/>
        <w:gridCol w:w="758"/>
        <w:gridCol w:w="547"/>
        <w:gridCol w:w="619"/>
        <w:gridCol w:w="403"/>
        <w:gridCol w:w="749"/>
        <w:gridCol w:w="643"/>
        <w:gridCol w:w="374"/>
        <w:gridCol w:w="737"/>
        <w:gridCol w:w="720"/>
        <w:gridCol w:w="720"/>
        <w:gridCol w:w="737"/>
        <w:gridCol w:w="571"/>
        <w:gridCol w:w="624"/>
        <w:gridCol w:w="682"/>
        <w:gridCol w:w="737"/>
        <w:gridCol w:w="682"/>
        <w:gridCol w:w="397"/>
        <w:gridCol w:w="737"/>
        <w:gridCol w:w="484"/>
        <w:gridCol w:w="484"/>
        <w:gridCol w:w="484"/>
        <w:gridCol w:w="484"/>
        <w:gridCol w:w="484"/>
        <w:gridCol w:w="484"/>
        <w:gridCol w:w="566"/>
        <w:gridCol w:w="379"/>
        <w:gridCol w:w="737"/>
        <w:gridCol w:w="475"/>
        <w:gridCol w:w="389"/>
        <w:gridCol w:w="864"/>
        <w:gridCol w:w="680"/>
        <w:gridCol w:w="397"/>
        <w:gridCol w:w="418"/>
        <w:gridCol w:w="737"/>
        <w:gridCol w:w="418"/>
        <w:gridCol w:w="397"/>
        <w:gridCol w:w="737"/>
        <w:gridCol w:w="484"/>
        <w:gridCol w:w="484"/>
        <w:gridCol w:w="484"/>
        <w:gridCol w:w="484"/>
        <w:gridCol w:w="484"/>
        <w:gridCol w:w="484"/>
      </w:tblGrid>
      <w:tr w:rsidR="00F15CAF">
        <w:tc>
          <w:tcPr>
            <w:tcW w:w="4170" w:type="dxa"/>
            <w:gridSpan w:val="7"/>
          </w:tcPr>
          <w:p w:rsidR="00F15CAF" w:rsidRDefault="00F15C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65" w:type="dxa"/>
            <w:gridSpan w:val="19"/>
          </w:tcPr>
          <w:p w:rsidR="00F15CAF" w:rsidRDefault="00F15CAF">
            <w:pPr>
              <w:pStyle w:val="ConsPlusNormal"/>
              <w:jc w:val="center"/>
            </w:pPr>
            <w:r>
              <w:t>Выданные в текущем финансовом году льготные кредиты, в рублях</w:t>
            </w:r>
          </w:p>
        </w:tc>
        <w:tc>
          <w:tcPr>
            <w:tcW w:w="10098" w:type="dxa"/>
            <w:gridSpan w:val="19"/>
          </w:tcPr>
          <w:p w:rsidR="00F15CAF" w:rsidRDefault="00F15CAF">
            <w:pPr>
              <w:pStyle w:val="ConsPlusNormal"/>
              <w:jc w:val="center"/>
            </w:pPr>
            <w:r>
              <w:t>Планируемые к выдаче льготные кредиты в очередном финансовом году, в рублях</w:t>
            </w:r>
          </w:p>
        </w:tc>
      </w:tr>
      <w:tr w:rsidR="00F15CAF">
        <w:tc>
          <w:tcPr>
            <w:tcW w:w="42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Уникальный номер заявки</w:t>
            </w:r>
          </w:p>
        </w:tc>
        <w:tc>
          <w:tcPr>
            <w:tcW w:w="758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юридического лица </w:t>
            </w:r>
            <w:r>
              <w:lastRenderedPageBreak/>
              <w:t>или Ф.И.О. индивидуального предпринимателя</w:t>
            </w:r>
          </w:p>
        </w:tc>
        <w:tc>
          <w:tcPr>
            <w:tcW w:w="54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ИНН заемщика</w:t>
            </w:r>
          </w:p>
        </w:tc>
        <w:tc>
          <w:tcPr>
            <w:tcW w:w="61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403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Номер СПК </w:t>
            </w:r>
            <w:hyperlink w:anchor="P14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49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Наименование субъекта Российской </w:t>
            </w:r>
            <w:r>
              <w:lastRenderedPageBreak/>
              <w:t xml:space="preserve">Федерации, с которым заключено соглашение СПК </w:t>
            </w:r>
            <w:hyperlink w:anchor="P14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31" w:type="dxa"/>
            <w:gridSpan w:val="6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Льготные краткосрочные кредиты</w:t>
            </w:r>
          </w:p>
        </w:tc>
        <w:tc>
          <w:tcPr>
            <w:tcW w:w="7334" w:type="dxa"/>
            <w:gridSpan w:val="13"/>
          </w:tcPr>
          <w:p w:rsidR="00F15CAF" w:rsidRDefault="00F15CAF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  <w:tc>
          <w:tcPr>
            <w:tcW w:w="4090" w:type="dxa"/>
            <w:gridSpan w:val="7"/>
          </w:tcPr>
          <w:p w:rsidR="00F15CAF" w:rsidRDefault="00F15CAF">
            <w:pPr>
              <w:pStyle w:val="ConsPlusNormal"/>
              <w:jc w:val="center"/>
            </w:pPr>
            <w:r>
              <w:t>Льготные краткосрочные кредиты</w:t>
            </w:r>
          </w:p>
        </w:tc>
        <w:tc>
          <w:tcPr>
            <w:tcW w:w="6008" w:type="dxa"/>
            <w:gridSpan w:val="12"/>
          </w:tcPr>
          <w:p w:rsidR="00F15CAF" w:rsidRDefault="00F15CAF">
            <w:pPr>
              <w:pStyle w:val="ConsPlusNormal"/>
              <w:jc w:val="center"/>
            </w:pPr>
            <w:r>
              <w:t>Льготные инвестиционные кредиты</w:t>
            </w:r>
          </w:p>
        </w:tc>
      </w:tr>
      <w:tr w:rsidR="00F15CAF">
        <w:tc>
          <w:tcPr>
            <w:tcW w:w="42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Фактически выданный </w:t>
            </w:r>
            <w:r>
              <w:lastRenderedPageBreak/>
              <w:t>объем кредитов</w:t>
            </w:r>
          </w:p>
        </w:tc>
        <w:tc>
          <w:tcPr>
            <w:tcW w:w="3288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Объем причитающихся субсидий</w:t>
            </w:r>
          </w:p>
        </w:tc>
        <w:tc>
          <w:tcPr>
            <w:tcW w:w="571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Фактически выданн</w:t>
            </w:r>
            <w:r>
              <w:lastRenderedPageBreak/>
              <w:t>ый объем кредитов</w:t>
            </w:r>
          </w:p>
        </w:tc>
        <w:tc>
          <w:tcPr>
            <w:tcW w:w="624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Принадлежность к рефи</w:t>
            </w:r>
            <w:r>
              <w:lastRenderedPageBreak/>
              <w:t>нансируемому кредиту</w:t>
            </w:r>
          </w:p>
        </w:tc>
        <w:tc>
          <w:tcPr>
            <w:tcW w:w="3235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Объем причитающихся субсидий</w:t>
            </w:r>
          </w:p>
        </w:tc>
        <w:tc>
          <w:tcPr>
            <w:tcW w:w="2904" w:type="dxa"/>
            <w:gridSpan w:val="6"/>
          </w:tcPr>
          <w:p w:rsidR="00F15CAF" w:rsidRDefault="00F15CAF">
            <w:pPr>
              <w:pStyle w:val="ConsPlusNormal"/>
              <w:jc w:val="center"/>
            </w:pPr>
            <w:r>
              <w:t>Объем причитающихся субсидий в последующих финансовых годах</w:t>
            </w:r>
          </w:p>
        </w:tc>
        <w:tc>
          <w:tcPr>
            <w:tcW w:w="566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 xml:space="preserve">Плановый объем </w:t>
            </w:r>
            <w:r>
              <w:lastRenderedPageBreak/>
              <w:t>кредитов</w:t>
            </w:r>
          </w:p>
        </w:tc>
        <w:tc>
          <w:tcPr>
            <w:tcW w:w="2844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Плановый объем причитающихся субсидий в очередном финансовом году</w:t>
            </w:r>
          </w:p>
        </w:tc>
        <w:tc>
          <w:tcPr>
            <w:tcW w:w="680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t>Плановый объем прич</w:t>
            </w:r>
            <w:r>
              <w:lastRenderedPageBreak/>
              <w:t>итающихся субсидий в следующем финансовом году</w:t>
            </w:r>
          </w:p>
        </w:tc>
        <w:tc>
          <w:tcPr>
            <w:tcW w:w="397" w:type="dxa"/>
            <w:vMerge w:val="restart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Плановый об</w:t>
            </w:r>
            <w:r>
              <w:lastRenderedPageBreak/>
              <w:t>ъем кредитов</w:t>
            </w:r>
          </w:p>
        </w:tc>
        <w:tc>
          <w:tcPr>
            <w:tcW w:w="2707" w:type="dxa"/>
            <w:gridSpan w:val="5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Плановый объем причитающихся субсидий в очередном финансовом году</w:t>
            </w:r>
          </w:p>
        </w:tc>
        <w:tc>
          <w:tcPr>
            <w:tcW w:w="2904" w:type="dxa"/>
            <w:gridSpan w:val="6"/>
          </w:tcPr>
          <w:p w:rsidR="00F15CAF" w:rsidRDefault="00F15CAF">
            <w:pPr>
              <w:pStyle w:val="ConsPlusNormal"/>
              <w:jc w:val="center"/>
            </w:pPr>
            <w:r>
              <w:t>Плановый объем причитающихся субсидий в последующих финансовых годах</w:t>
            </w:r>
          </w:p>
        </w:tc>
      </w:tr>
      <w:tr w:rsidR="00F15CAF">
        <w:tc>
          <w:tcPr>
            <w:tcW w:w="42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  <w:jc w:val="center"/>
            </w:pPr>
            <w:r>
              <w:t>Вс</w:t>
            </w:r>
            <w:r>
              <w:lastRenderedPageBreak/>
              <w:t>его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квартал (в том числе декабрь предыдущего года)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квартал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квартал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квартал (за исключением декабря текущего года)</w:t>
            </w:r>
          </w:p>
        </w:tc>
        <w:tc>
          <w:tcPr>
            <w:tcW w:w="571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 xml:space="preserve">I </w:t>
            </w:r>
            <w:r>
              <w:lastRenderedPageBreak/>
              <w:t>квартал (в том числе декабрь предыдущего года)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квартал</w:t>
            </w:r>
          </w:p>
        </w:tc>
        <w:tc>
          <w:tcPr>
            <w:tcW w:w="39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квартал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квартал (за исключением декабря текущего года)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566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  <w:jc w:val="center"/>
            </w:pPr>
            <w:r>
              <w:t>Вс</w:t>
            </w:r>
            <w:r>
              <w:lastRenderedPageBreak/>
              <w:t>его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квартал (в том числе декабрь предыдущего года)</w:t>
            </w:r>
          </w:p>
        </w:tc>
        <w:tc>
          <w:tcPr>
            <w:tcW w:w="475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квартал</w:t>
            </w:r>
          </w:p>
        </w:tc>
        <w:tc>
          <w:tcPr>
            <w:tcW w:w="389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квартал</w:t>
            </w:r>
          </w:p>
        </w:tc>
        <w:tc>
          <w:tcPr>
            <w:tcW w:w="86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квартал (за исключением декабря текущего года)</w:t>
            </w:r>
          </w:p>
        </w:tc>
        <w:tc>
          <w:tcPr>
            <w:tcW w:w="680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  <w:vMerge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Вс</w:t>
            </w:r>
            <w:r>
              <w:lastRenderedPageBreak/>
              <w:t>его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квартал (в том числе декабрь предыдущего года)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квартал</w:t>
            </w:r>
          </w:p>
        </w:tc>
        <w:tc>
          <w:tcPr>
            <w:tcW w:w="39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квартал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квартал (за исключением декабря текущего года)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___ г.</w:t>
            </w: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7" w:type="dxa"/>
          </w:tcPr>
          <w:p w:rsidR="00F15CAF" w:rsidRDefault="00F15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15CAF" w:rsidRDefault="00F15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dxa"/>
          </w:tcPr>
          <w:p w:rsidR="00F15CAF" w:rsidRDefault="00F15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F15CAF" w:rsidRDefault="00F15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" w:type="dxa"/>
          </w:tcPr>
          <w:p w:rsidR="00F15CAF" w:rsidRDefault="00F15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9" w:type="dxa"/>
          </w:tcPr>
          <w:p w:rsidR="00F15CAF" w:rsidRDefault="00F15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3" w:type="dxa"/>
          </w:tcPr>
          <w:p w:rsidR="00F15CAF" w:rsidRDefault="00F15C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dxa"/>
          </w:tcPr>
          <w:p w:rsidR="00F15CAF" w:rsidRDefault="00F15C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15CAF" w:rsidRDefault="00F15C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</w:tcPr>
          <w:p w:rsidR="00F15CAF" w:rsidRDefault="00F15C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15CAF" w:rsidRDefault="00F15C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2" w:type="dxa"/>
          </w:tcPr>
          <w:p w:rsidR="00F15CAF" w:rsidRDefault="00F15C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7" w:type="dxa"/>
          </w:tcPr>
          <w:p w:rsidR="00F15CAF" w:rsidRDefault="00F15C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F15CAF" w:rsidRDefault="00F15C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" w:type="dxa"/>
          </w:tcPr>
          <w:p w:rsidR="00F15CAF" w:rsidRDefault="00F15C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5" w:type="dxa"/>
          </w:tcPr>
          <w:p w:rsidR="00F15CAF" w:rsidRDefault="00F15C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9" w:type="dxa"/>
          </w:tcPr>
          <w:p w:rsidR="00F15CAF" w:rsidRDefault="00F15C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4" w:type="dxa"/>
          </w:tcPr>
          <w:p w:rsidR="00F15CAF" w:rsidRDefault="00F15C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F15CAF" w:rsidRDefault="00F15C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7" w:type="dxa"/>
          </w:tcPr>
          <w:p w:rsidR="00F15CAF" w:rsidRDefault="00F15C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8" w:type="dxa"/>
          </w:tcPr>
          <w:p w:rsidR="00F15CAF" w:rsidRDefault="00F15C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7" w:type="dxa"/>
          </w:tcPr>
          <w:p w:rsidR="00F15CAF" w:rsidRDefault="00F15C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F15CAF" w:rsidRDefault="00F15C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84" w:type="dxa"/>
          </w:tcPr>
          <w:p w:rsidR="00F15CAF" w:rsidRDefault="00F15CAF">
            <w:pPr>
              <w:pStyle w:val="ConsPlusNormal"/>
              <w:jc w:val="center"/>
            </w:pPr>
            <w:r>
              <w:t>45</w:t>
            </w: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  <w:tr w:rsidR="00F15CAF">
        <w:tc>
          <w:tcPr>
            <w:tcW w:w="42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6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5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4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1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0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4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43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2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71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2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2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566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7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75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89" w:type="dxa"/>
          </w:tcPr>
          <w:p w:rsidR="00F15CAF" w:rsidRDefault="00F15CAF">
            <w:pPr>
              <w:pStyle w:val="ConsPlusNormal"/>
            </w:pPr>
          </w:p>
        </w:tc>
        <w:tc>
          <w:tcPr>
            <w:tcW w:w="86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680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18" w:type="dxa"/>
          </w:tcPr>
          <w:p w:rsidR="00F15CAF" w:rsidRDefault="00F15CAF">
            <w:pPr>
              <w:pStyle w:val="ConsPlusNormal"/>
            </w:pPr>
          </w:p>
        </w:tc>
        <w:tc>
          <w:tcPr>
            <w:tcW w:w="39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737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  <w:tc>
          <w:tcPr>
            <w:tcW w:w="484" w:type="dxa"/>
          </w:tcPr>
          <w:p w:rsidR="00F15CAF" w:rsidRDefault="00F15CAF">
            <w:pPr>
              <w:pStyle w:val="ConsPlusNormal"/>
            </w:pPr>
          </w:p>
        </w:tc>
      </w:tr>
    </w:tbl>
    <w:p w:rsidR="00F15CAF" w:rsidRDefault="00F15CAF">
      <w:pPr>
        <w:pStyle w:val="ConsPlusNormal"/>
        <w:jc w:val="both"/>
      </w:pPr>
    </w:p>
    <w:p w:rsidR="00F15CAF" w:rsidRDefault="00F15CAF">
      <w:pPr>
        <w:pStyle w:val="ConsPlusNonformat"/>
        <w:jc w:val="both"/>
      </w:pPr>
      <w:r>
        <w:t xml:space="preserve">    Уполномоченное лицо</w:t>
      </w:r>
    </w:p>
    <w:p w:rsidR="00F15CAF" w:rsidRDefault="00F15CAF">
      <w:pPr>
        <w:pStyle w:val="ConsPlusNonformat"/>
        <w:jc w:val="both"/>
      </w:pPr>
      <w:r>
        <w:t xml:space="preserve">    уполномоченного банка     _________             ______________________.</w:t>
      </w:r>
    </w:p>
    <w:p w:rsidR="00F15CAF" w:rsidRDefault="00F15CAF">
      <w:pPr>
        <w:pStyle w:val="ConsPlusNonformat"/>
        <w:jc w:val="both"/>
      </w:pPr>
      <w:r>
        <w:t xml:space="preserve">                              (подпись)              (расшифровка подписи)</w:t>
      </w:r>
    </w:p>
    <w:p w:rsidR="00F15CAF" w:rsidRDefault="00F15CAF">
      <w:pPr>
        <w:pStyle w:val="ConsPlusNonformat"/>
        <w:jc w:val="both"/>
      </w:pPr>
    </w:p>
    <w:p w:rsidR="00F15CAF" w:rsidRDefault="00F15CAF">
      <w:pPr>
        <w:pStyle w:val="ConsPlusNonformat"/>
        <w:jc w:val="both"/>
      </w:pPr>
      <w:r>
        <w:t xml:space="preserve">    МП (при наличии)</w:t>
      </w:r>
    </w:p>
    <w:p w:rsidR="00F15CAF" w:rsidRDefault="00F15CAF">
      <w:pPr>
        <w:pStyle w:val="ConsPlusNonformat"/>
        <w:jc w:val="both"/>
      </w:pPr>
      <w:r>
        <w:t xml:space="preserve">    "__" __________ 20__ г.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ind w:firstLine="540"/>
        <w:jc w:val="both"/>
      </w:pPr>
      <w:r>
        <w:t>--------------------------------</w:t>
      </w:r>
    </w:p>
    <w:p w:rsidR="00F15CAF" w:rsidRDefault="00F15CAF">
      <w:pPr>
        <w:pStyle w:val="ConsPlusNormal"/>
        <w:spacing w:before="220"/>
        <w:ind w:firstLine="540"/>
        <w:jc w:val="both"/>
      </w:pPr>
      <w:bookmarkStart w:id="33" w:name="P1468"/>
      <w:bookmarkEnd w:id="33"/>
      <w:r>
        <w:t>&lt;*&gt; СПК - соглашение о повышении конкурентоспособности.</w:t>
      </w: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jc w:val="both"/>
      </w:pPr>
    </w:p>
    <w:p w:rsidR="00F15CAF" w:rsidRDefault="00F15C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34" w:name="_GoBack"/>
      <w:bookmarkEnd w:id="34"/>
    </w:p>
    <w:sectPr w:rsidR="00F5230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F"/>
    <w:rsid w:val="00024243"/>
    <w:rsid w:val="0019059C"/>
    <w:rsid w:val="001A10CA"/>
    <w:rsid w:val="001E7E43"/>
    <w:rsid w:val="00222998"/>
    <w:rsid w:val="003260C2"/>
    <w:rsid w:val="00381435"/>
    <w:rsid w:val="0044793C"/>
    <w:rsid w:val="004741AC"/>
    <w:rsid w:val="004B0F9E"/>
    <w:rsid w:val="004F1981"/>
    <w:rsid w:val="00500158"/>
    <w:rsid w:val="006059CD"/>
    <w:rsid w:val="00634BFE"/>
    <w:rsid w:val="00726E84"/>
    <w:rsid w:val="0079455F"/>
    <w:rsid w:val="007B73F3"/>
    <w:rsid w:val="00804CDA"/>
    <w:rsid w:val="00842C77"/>
    <w:rsid w:val="00A52F9B"/>
    <w:rsid w:val="00B04882"/>
    <w:rsid w:val="00B82868"/>
    <w:rsid w:val="00BB3E34"/>
    <w:rsid w:val="00CA6166"/>
    <w:rsid w:val="00D32D91"/>
    <w:rsid w:val="00D54D53"/>
    <w:rsid w:val="00DB6AFA"/>
    <w:rsid w:val="00DD5F0E"/>
    <w:rsid w:val="00E25BAE"/>
    <w:rsid w:val="00EC6498"/>
    <w:rsid w:val="00EF6D39"/>
    <w:rsid w:val="00F15CAF"/>
    <w:rsid w:val="00F52305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3147-0FEB-41D8-B635-C1F13E43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5C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5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5C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5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5C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5C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5C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464C22C061F2846FA518BE710D2A5B1BC4B364BAA02C5B8952580F63A7EC305F828846CBD919A4EFC017C89153EC3176AC1BF92A5012Dy0sEL" TargetMode="External"/><Relationship Id="rId13" Type="http://schemas.openxmlformats.org/officeDocument/2006/relationships/hyperlink" Target="consultantplus://offline/ref=8F2464C22C061F2846FA518BE710D2A5B1BC4B364BAA02C5B8952580F63A7EC305F8288468BF9ACF1BB30020CC482DC21B6AC3BB8EyAs4L" TargetMode="External"/><Relationship Id="rId18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26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39" Type="http://schemas.openxmlformats.org/officeDocument/2006/relationships/hyperlink" Target="consultantplus://offline/ref=8F2464C22C061F2846FA518BE710D2A5B1B8493149AA02C5B8952580F63A7EC305F8288068B6C5CA0EA2582CC55E33C60176C1B9y8s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2464C22C061F2846FA518BE710D2A5B1BC4B364BAA02C5B8952580F63A7EC305F828846DBC9ACF1BB30020CC482DC21B6AC3BB8EyAs4L" TargetMode="External"/><Relationship Id="rId34" Type="http://schemas.openxmlformats.org/officeDocument/2006/relationships/hyperlink" Target="consultantplus://offline/ref=8F2464C22C061F2846FA518BE710D2A5B4BC403849AC02C5B8952580F63A7EC317F870886DB58F9B4EE9572DCFy4s3L" TargetMode="External"/><Relationship Id="rId42" Type="http://schemas.openxmlformats.org/officeDocument/2006/relationships/hyperlink" Target="consultantplus://offline/ref=8F2464C22C061F2846FA518BE710D2A5B1B8493149AA02C5B8952580F63A7EC305F8288068B6C5CA0EA2582CC55E33C60176C1B9y8sF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F2464C22C061F2846FA518BE710D2A5B1B84E3840AD02C5B8952580F63A7EC305F828846CBD919A49FC017C89153EC3176AC1BF92A5012Dy0sEL" TargetMode="External"/><Relationship Id="rId12" Type="http://schemas.openxmlformats.org/officeDocument/2006/relationships/hyperlink" Target="consultantplus://offline/ref=8F2464C22C061F2846FA518BE710D2A5B1BC4B364BAA02C5B8952580F63A7EC305F828846CBD919E4EFC017C89153EC3176AC1BF92A5012Dy0sEL" TargetMode="External"/><Relationship Id="rId17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25" Type="http://schemas.openxmlformats.org/officeDocument/2006/relationships/hyperlink" Target="consultantplus://offline/ref=8F2464C22C061F2846FA518BE710D2A5B1BC4B364BAA02C5B8952580F63A7EC305F828846CBD919843FC017C89153EC3176AC1BF92A5012Dy0sEL" TargetMode="External"/><Relationship Id="rId33" Type="http://schemas.openxmlformats.org/officeDocument/2006/relationships/hyperlink" Target="consultantplus://offline/ref=8F2464C22C061F2846FA518BE710D2A5B1BC4B364BAA02C5B8952580F63A7EC305F828846CBD919843FC017C89153EC3176AC1BF92A5012Dy0sEL" TargetMode="External"/><Relationship Id="rId38" Type="http://schemas.openxmlformats.org/officeDocument/2006/relationships/hyperlink" Target="consultantplus://offline/ref=8F2464C22C061F2846FA518BE710D2A5B1B8493149AA02C5B8952580F63A7EC305F828816AB6C5CA0EA2582CC55E33C60176C1B9y8sF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20" Type="http://schemas.openxmlformats.org/officeDocument/2006/relationships/hyperlink" Target="consultantplus://offline/ref=8F2464C22C061F2846FA518BE710D2A5B1BC4B364BAA02C5B8952580F63A7EC305F828846CBD919C4DFC017C89153EC3176AC1BF92A5012Dy0sEL" TargetMode="External"/><Relationship Id="rId29" Type="http://schemas.openxmlformats.org/officeDocument/2006/relationships/hyperlink" Target="consultantplus://offline/ref=8F2464C22C061F2846FA518BE710D2A5B1BC4B364BAA02C5B8952580F63A7EC305F8288669B6C5CA0EA2582CC55E33C60176C1B9y8sFL" TargetMode="External"/><Relationship Id="rId41" Type="http://schemas.openxmlformats.org/officeDocument/2006/relationships/hyperlink" Target="consultantplus://offline/ref=8F2464C22C061F2846FA518BE710D2A5B1B8493149AA02C5B8952580F63A7EC305F828816AB6C5CA0EA2582CC55E33C60176C1B9y8s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464C22C061F2846FA518BE710D2A5B1B8413148A502C5B8952580F63A7EC317F870886DB58F9B4EE9572DCFy4s3L" TargetMode="External"/><Relationship Id="rId11" Type="http://schemas.openxmlformats.org/officeDocument/2006/relationships/hyperlink" Target="consultantplus://offline/ref=8F2464C22C061F2846FA518BE710D2A5B1BC4B364BAA02C5B8952580F63A7EC305F8288468BF9ACF1BB30020CC482DC21B6AC3BB8EyAs4L" TargetMode="External"/><Relationship Id="rId24" Type="http://schemas.openxmlformats.org/officeDocument/2006/relationships/hyperlink" Target="consultantplus://offline/ref=8F2464C22C061F2846FA518BE710D2A5B1BC4B364BAA02C5B8952580F63A7EC305F828846CBD919843FC017C89153EC3176AC1BF92A5012Dy0sEL" TargetMode="External"/><Relationship Id="rId32" Type="http://schemas.openxmlformats.org/officeDocument/2006/relationships/hyperlink" Target="consultantplus://offline/ref=8F2464C22C061F2846FA518BE710D2A5B1B8493149AA02C5B8952580F63A7EC305F8288068B6C5CA0EA2582CC55E33C60176C1B9y8sFL" TargetMode="External"/><Relationship Id="rId37" Type="http://schemas.openxmlformats.org/officeDocument/2006/relationships/hyperlink" Target="consultantplus://offline/ref=8F2464C22C061F2846FA518BE710D2A5B1B8493149AA02C5B8952580F63A7EC305F828836EB6C5CA0EA2582CC55E33C60176C1B9y8sFL" TargetMode="External"/><Relationship Id="rId40" Type="http://schemas.openxmlformats.org/officeDocument/2006/relationships/hyperlink" Target="consultantplus://offline/ref=8F2464C22C061F2846FA518BE710D2A5B4BC403849AC02C5B8952580F63A7EC317F870886DB58F9B4EE9572DCFy4s3L" TargetMode="External"/><Relationship Id="rId45" Type="http://schemas.openxmlformats.org/officeDocument/2006/relationships/hyperlink" Target="consultantplus://offline/ref=8F2464C22C061F2846FA518BE710D2A5B1B8493149AA02C5B8952580F63A7EC305F8288068B6C5CA0EA2582CC55E33C60176C1B9y8sFL" TargetMode="External"/><Relationship Id="rId5" Type="http://schemas.openxmlformats.org/officeDocument/2006/relationships/hyperlink" Target="consultantplus://offline/ref=8F2464C22C061F2846FA518BE710D2A5B1BC4B364BAA02C5B8952580F63A7EC305F828846CBD919E4FFC017C89153EC3176AC1BF92A5012Dy0sEL" TargetMode="External"/><Relationship Id="rId15" Type="http://schemas.openxmlformats.org/officeDocument/2006/relationships/hyperlink" Target="consultantplus://offline/ref=8F2464C22C061F2846FA518BE710D2A5B1BC4B364BAA02C5B8952580F63A7EC305F8288468BD9ACF1BB30020CC482DC21B6AC3BB8EyAs4L" TargetMode="External"/><Relationship Id="rId23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28" Type="http://schemas.openxmlformats.org/officeDocument/2006/relationships/hyperlink" Target="consultantplus://offline/ref=8F2464C22C061F2846FA518BE710D2A5B1BC4B364BAA02C5B8952580F63A7EC305F828846CBD90984DFC017C89153EC3176AC1BF92A5012Dy0sEL" TargetMode="External"/><Relationship Id="rId36" Type="http://schemas.openxmlformats.org/officeDocument/2006/relationships/hyperlink" Target="consultantplus://offline/ref=8F2464C22C061F2846FA518BE710D2A5B1B8493149AA02C5B8952580F63A7EC305F8288068B6C5CA0EA2582CC55E33C60176C1B9y8sFL" TargetMode="External"/><Relationship Id="rId10" Type="http://schemas.openxmlformats.org/officeDocument/2006/relationships/hyperlink" Target="consultantplus://offline/ref=8F2464C22C061F2846FA518BE710D2A5B1BC4B364BAA02C5B8952580F63A7EC305F8288468B6C5CA0EA2582CC55E33C60176C1B9y8sFL" TargetMode="External"/><Relationship Id="rId19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31" Type="http://schemas.openxmlformats.org/officeDocument/2006/relationships/hyperlink" Target="consultantplus://offline/ref=8F2464C22C061F2846FA518BE710D2A5B1B8493149AA02C5B8952580F63A7EC305F828816AB6C5CA0EA2582CC55E33C60176C1B9y8sFL" TargetMode="External"/><Relationship Id="rId44" Type="http://schemas.openxmlformats.org/officeDocument/2006/relationships/hyperlink" Target="consultantplus://offline/ref=8F2464C22C061F2846FA518BE710D2A5B1B8493149AA02C5B8952580F63A7EC305F828816AB6C5CA0EA2582CC55E33C60176C1B9y8s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2464C22C061F2846FA518BE710D2A5B1BC4B364BAA02C5B8952580F63A7EC305F828866EB6C5CA0EA2582CC55E33C60176C1B9y8sFL" TargetMode="External"/><Relationship Id="rId14" Type="http://schemas.openxmlformats.org/officeDocument/2006/relationships/hyperlink" Target="consultantplus://offline/ref=8F2464C22C061F2846FA518BE710D2A5B1BC4B364BAA02C5B8952580F63A7EC305F8288467E9C0DF1FFA5425D34037DC1D74C3yBs8L" TargetMode="External"/><Relationship Id="rId22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27" Type="http://schemas.openxmlformats.org/officeDocument/2006/relationships/hyperlink" Target="consultantplus://offline/ref=8F2464C22C061F2846FA518BE710D2A5B1BC4B364BAA02C5B8952580F63A7EC305F8288468BC9ACF1BB30020CC482DC21B6AC3BB8EyAs4L" TargetMode="External"/><Relationship Id="rId30" Type="http://schemas.openxmlformats.org/officeDocument/2006/relationships/hyperlink" Target="consultantplus://offline/ref=8F2464C22C061F2846FA518BE710D2A5B1B8493149AA02C5B8952580F63A7EC305F828836EB6C5CA0EA2582CC55E33C60176C1B9y8sFL" TargetMode="External"/><Relationship Id="rId35" Type="http://schemas.openxmlformats.org/officeDocument/2006/relationships/hyperlink" Target="consultantplus://offline/ref=8F2464C22C061F2846FA518BE710D2A5B1B8493149AA02C5B8952580F63A7EC305F828816AB6C5CA0EA2582CC55E33C60176C1B9y8sFL" TargetMode="External"/><Relationship Id="rId43" Type="http://schemas.openxmlformats.org/officeDocument/2006/relationships/hyperlink" Target="consultantplus://offline/ref=8F2464C22C061F2846FA518BE710D2A5B1B8493149AA02C5B8952580F63A7EC305F828836EB6C5CA0EA2582CC55E33C60176C1B9y8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2023-04-18T11:44:00Z</dcterms:created>
  <dcterms:modified xsi:type="dcterms:W3CDTF">2023-04-18T11:45:00Z</dcterms:modified>
</cp:coreProperties>
</file>