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Layout w:type="fixed"/>
        <w:tblLook w:val="0000" w:firstRow="0" w:lastRow="0" w:firstColumn="0" w:lastColumn="0" w:noHBand="0" w:noVBand="0"/>
      </w:tblPr>
      <w:tblGrid>
        <w:gridCol w:w="4786"/>
        <w:gridCol w:w="5285"/>
      </w:tblGrid>
      <w:tr w:rsidR="00C2454B" w:rsidRPr="00C2454B" w:rsidTr="005C68A8">
        <w:trPr>
          <w:trHeight w:val="2476"/>
        </w:trPr>
        <w:tc>
          <w:tcPr>
            <w:tcW w:w="4786" w:type="dxa"/>
            <w:shd w:val="clear" w:color="auto" w:fill="auto"/>
            <w:vAlign w:val="bottom"/>
          </w:tcPr>
          <w:p w:rsidR="00C2454B" w:rsidRPr="00C2454B" w:rsidRDefault="00C2454B" w:rsidP="00C245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2454B">
              <w:rPr>
                <w:b/>
                <w:sz w:val="28"/>
                <w:szCs w:val="28"/>
                <w:lang w:eastAsia="ar-SA"/>
              </w:rPr>
              <w:t>МАРИЙ ЭЛ РЕСПУБЛИКЫСЕ КУЖЭ</w:t>
            </w:r>
            <w:r w:rsidRPr="00C2454B">
              <w:rPr>
                <w:sz w:val="28"/>
                <w:szCs w:val="28"/>
                <w:lang w:eastAsia="ar-SA"/>
              </w:rPr>
              <w:t>Ҥ</w:t>
            </w:r>
            <w:r w:rsidRPr="00C2454B">
              <w:rPr>
                <w:b/>
                <w:sz w:val="28"/>
                <w:szCs w:val="28"/>
                <w:lang w:eastAsia="ar-SA"/>
              </w:rPr>
              <w:t>ЕР МУНИЦИПАЛ</w:t>
            </w:r>
          </w:p>
          <w:p w:rsidR="00C2454B" w:rsidRPr="00C2454B" w:rsidRDefault="00C2454B" w:rsidP="00C245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2454B">
              <w:rPr>
                <w:b/>
                <w:sz w:val="28"/>
                <w:szCs w:val="28"/>
                <w:lang w:eastAsia="ar-SA"/>
              </w:rPr>
              <w:t>РАЙОНЫН</w:t>
            </w:r>
          </w:p>
          <w:p w:rsidR="00C2454B" w:rsidRPr="00C2454B" w:rsidRDefault="00C2454B" w:rsidP="00C245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2454B">
              <w:rPr>
                <w:b/>
                <w:sz w:val="28"/>
                <w:szCs w:val="28"/>
                <w:lang w:eastAsia="ar-SA"/>
              </w:rPr>
              <w:t>КУЖЭ</w:t>
            </w:r>
            <w:r w:rsidRPr="00C2454B">
              <w:rPr>
                <w:sz w:val="28"/>
                <w:szCs w:val="28"/>
                <w:lang w:eastAsia="ar-SA"/>
              </w:rPr>
              <w:t>Ҥ</w:t>
            </w:r>
            <w:r w:rsidRPr="00C2454B">
              <w:rPr>
                <w:b/>
                <w:sz w:val="28"/>
                <w:szCs w:val="28"/>
                <w:lang w:eastAsia="ar-SA"/>
              </w:rPr>
              <w:t>ЕР ОЛА ШОТАН ИЛЕМ</w:t>
            </w:r>
          </w:p>
          <w:p w:rsidR="00C2454B" w:rsidRPr="00C2454B" w:rsidRDefault="00C2454B" w:rsidP="00C245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2454B">
              <w:rPr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C2454B" w:rsidRPr="00C2454B" w:rsidRDefault="00C2454B" w:rsidP="00C2454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2454B" w:rsidRPr="00C2454B" w:rsidRDefault="00C2454B" w:rsidP="00C2454B">
            <w:pPr>
              <w:suppressAutoHyphens/>
              <w:jc w:val="center"/>
              <w:rPr>
                <w:lang w:eastAsia="ar-SA"/>
              </w:rPr>
            </w:pPr>
            <w:r w:rsidRPr="00C2454B">
              <w:rPr>
                <w:lang w:eastAsia="ar-SA"/>
              </w:rPr>
              <w:t>425550, Куженер пос.,</w:t>
            </w:r>
          </w:p>
          <w:p w:rsidR="00C2454B" w:rsidRPr="00C2454B" w:rsidRDefault="00C2454B" w:rsidP="00C2454B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2454B">
              <w:rPr>
                <w:lang w:eastAsia="ar-SA"/>
              </w:rPr>
              <w:t>Ст</w:t>
            </w:r>
            <w:proofErr w:type="gramStart"/>
            <w:r w:rsidRPr="00C2454B">
              <w:rPr>
                <w:lang w:eastAsia="ar-SA"/>
              </w:rPr>
              <w:t>.Л</w:t>
            </w:r>
            <w:proofErr w:type="gramEnd"/>
            <w:r w:rsidRPr="00C2454B">
              <w:rPr>
                <w:lang w:eastAsia="ar-SA"/>
              </w:rPr>
              <w:t>ебедева</w:t>
            </w:r>
            <w:proofErr w:type="spellEnd"/>
            <w:r w:rsidRPr="00C2454B">
              <w:rPr>
                <w:lang w:eastAsia="ar-SA"/>
              </w:rPr>
              <w:t xml:space="preserve"> </w:t>
            </w:r>
            <w:proofErr w:type="spellStart"/>
            <w:r w:rsidRPr="00C2454B">
              <w:rPr>
                <w:lang w:eastAsia="ar-SA"/>
              </w:rPr>
              <w:t>урем</w:t>
            </w:r>
            <w:proofErr w:type="spellEnd"/>
            <w:r w:rsidRPr="00C2454B">
              <w:rPr>
                <w:lang w:eastAsia="ar-SA"/>
              </w:rPr>
              <w:t>, 20а</w:t>
            </w:r>
          </w:p>
        </w:tc>
        <w:tc>
          <w:tcPr>
            <w:tcW w:w="5285" w:type="dxa"/>
            <w:vAlign w:val="bottom"/>
          </w:tcPr>
          <w:p w:rsidR="00C2454B" w:rsidRPr="00C2454B" w:rsidRDefault="00C2454B" w:rsidP="00C2454B">
            <w:pPr>
              <w:tabs>
                <w:tab w:val="left" w:pos="405"/>
              </w:tabs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C2454B">
              <w:rPr>
                <w:rFonts w:eastAsia="Lucida Sans Unicode"/>
                <w:b/>
                <w:sz w:val="28"/>
                <w:szCs w:val="28"/>
              </w:rPr>
              <w:t>КУЖЕНЕРСКАЯ                ГОРОДСКАЯ АДМИНИСТРАЦИЯ</w:t>
            </w:r>
          </w:p>
          <w:p w:rsidR="00C2454B" w:rsidRPr="00C2454B" w:rsidRDefault="00C2454B" w:rsidP="00C2454B">
            <w:pPr>
              <w:tabs>
                <w:tab w:val="left" w:pos="405"/>
              </w:tabs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C2454B">
              <w:rPr>
                <w:rFonts w:eastAsia="Lucida Sans Unicode"/>
                <w:b/>
                <w:sz w:val="28"/>
                <w:szCs w:val="28"/>
              </w:rPr>
              <w:t>КУЖЕНЕРСКОГО                  МУНИЦИПАЛЬНОГО РАЙОНА РЕСПУБЛИКИ МАРИЙ ЭЛ</w:t>
            </w:r>
          </w:p>
          <w:p w:rsidR="00C2454B" w:rsidRPr="00C2454B" w:rsidRDefault="00C2454B" w:rsidP="00C2454B">
            <w:pPr>
              <w:tabs>
                <w:tab w:val="left" w:pos="405"/>
              </w:tabs>
              <w:jc w:val="center"/>
              <w:rPr>
                <w:sz w:val="16"/>
                <w:szCs w:val="16"/>
              </w:rPr>
            </w:pPr>
          </w:p>
          <w:p w:rsidR="00C2454B" w:rsidRPr="00C2454B" w:rsidRDefault="00C2454B" w:rsidP="00C2454B">
            <w:pPr>
              <w:tabs>
                <w:tab w:val="left" w:pos="405"/>
              </w:tabs>
              <w:jc w:val="center"/>
            </w:pPr>
            <w:r w:rsidRPr="00C2454B">
              <w:t>425550, пос. Куженер,</w:t>
            </w:r>
          </w:p>
          <w:p w:rsidR="00C2454B" w:rsidRPr="00C2454B" w:rsidRDefault="00C2454B" w:rsidP="00C2454B">
            <w:pPr>
              <w:tabs>
                <w:tab w:val="left" w:pos="405"/>
              </w:tabs>
              <w:jc w:val="center"/>
            </w:pPr>
            <w:r w:rsidRPr="00C2454B">
              <w:t>ул. Степана Лебедева дом 20а</w:t>
            </w:r>
          </w:p>
        </w:tc>
      </w:tr>
    </w:tbl>
    <w:p w:rsidR="00C2454B" w:rsidRPr="00C2454B" w:rsidRDefault="00C2454B" w:rsidP="00C2454B">
      <w:pPr>
        <w:pBdr>
          <w:bottom w:val="single" w:sz="8" w:space="1" w:color="000000"/>
        </w:pBdr>
        <w:suppressAutoHyphens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lang w:eastAsia="ar-SA"/>
        </w:rPr>
      </w:pPr>
      <w:r w:rsidRPr="00C2454B">
        <w:rPr>
          <w:lang w:eastAsia="ar-SA"/>
        </w:rPr>
        <w:t xml:space="preserve">Тел.: (83637) 9-12-68, 9-13-68, ИНН/КПП 1205003452/120501001, </w:t>
      </w:r>
      <w:r w:rsidRPr="00C2454B">
        <w:rPr>
          <w:lang w:val="en-US" w:eastAsia="ar-SA"/>
        </w:rPr>
        <w:t>E</w:t>
      </w:r>
      <w:r w:rsidRPr="00C2454B">
        <w:rPr>
          <w:lang w:eastAsia="ar-SA"/>
        </w:rPr>
        <w:t>-</w:t>
      </w:r>
      <w:r w:rsidRPr="00C2454B">
        <w:rPr>
          <w:lang w:val="en-US" w:eastAsia="ar-SA"/>
        </w:rPr>
        <w:t>mail</w:t>
      </w:r>
      <w:r w:rsidRPr="00C2454B">
        <w:rPr>
          <w:lang w:eastAsia="ar-SA"/>
        </w:rPr>
        <w:t xml:space="preserve">: </w:t>
      </w:r>
      <w:proofErr w:type="spellStart"/>
      <w:r w:rsidRPr="00C2454B">
        <w:rPr>
          <w:lang w:val="en-US" w:eastAsia="ar-SA"/>
        </w:rPr>
        <w:t>kuzadm</w:t>
      </w:r>
      <w:proofErr w:type="spellEnd"/>
      <w:r w:rsidRPr="00C2454B">
        <w:rPr>
          <w:lang w:eastAsia="ar-SA"/>
        </w:rPr>
        <w:t>@</w:t>
      </w:r>
      <w:r w:rsidRPr="00C2454B">
        <w:rPr>
          <w:lang w:val="en-US" w:eastAsia="ar-SA"/>
        </w:rPr>
        <w:t>mail</w:t>
      </w:r>
      <w:r w:rsidRPr="00C2454B">
        <w:rPr>
          <w:lang w:eastAsia="ar-SA"/>
        </w:rPr>
        <w:t>.</w:t>
      </w:r>
      <w:proofErr w:type="spellStart"/>
      <w:r w:rsidRPr="00C2454B">
        <w:rPr>
          <w:lang w:val="en-US" w:eastAsia="ar-SA"/>
        </w:rPr>
        <w:t>ru</w:t>
      </w:r>
      <w:proofErr w:type="spellEnd"/>
    </w:p>
    <w:p w:rsidR="00C2454B" w:rsidRPr="00C2454B" w:rsidRDefault="00C2454B" w:rsidP="00C2454B">
      <w:pPr>
        <w:keepNext/>
        <w:suppressAutoHyphens/>
        <w:outlineLvl w:val="0"/>
        <w:rPr>
          <w:lang w:eastAsia="ar-SA"/>
        </w:rPr>
      </w:pPr>
      <w:r w:rsidRPr="00C2454B">
        <w:rPr>
          <w:lang w:eastAsia="ar-SA"/>
        </w:rPr>
        <w:t xml:space="preserve">                          </w:t>
      </w: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AB3ACB">
        <w:rPr>
          <w:sz w:val="28"/>
          <w:szCs w:val="28"/>
          <w:lang w:eastAsia="ar-SA"/>
        </w:rPr>
        <w:t>30</w:t>
      </w:r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</w:t>
      </w:r>
      <w:r w:rsidR="005B7400">
        <w:rPr>
          <w:sz w:val="28"/>
          <w:szCs w:val="28"/>
          <w:lang w:eastAsia="ar-SA"/>
        </w:rPr>
        <w:t xml:space="preserve"> 1</w:t>
      </w:r>
      <w:r w:rsidR="00BE05D3">
        <w:rPr>
          <w:sz w:val="28"/>
          <w:szCs w:val="28"/>
          <w:lang w:eastAsia="ar-SA"/>
        </w:rPr>
        <w:t>429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 xml:space="preserve">   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61489">
      <w:pPr>
        <w:suppressAutoHyphens/>
        <w:ind w:left="5664" w:firstLine="708"/>
        <w:jc w:val="center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>казначейства</w:t>
      </w:r>
    </w:p>
    <w:p w:rsidR="00C2454B" w:rsidRPr="00C2454B" w:rsidRDefault="00C2454B" w:rsidP="00761489">
      <w:pPr>
        <w:suppressAutoHyphens/>
        <w:ind w:left="5664" w:firstLine="708"/>
        <w:jc w:val="center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C2454B" w:rsidP="003378E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Городское поселение Куженер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>Бюджет Городского поселения Куженер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</w:t>
            </w:r>
            <w:proofErr w:type="gramStart"/>
            <w:r w:rsidRPr="00C2454B">
              <w:rPr>
                <w:sz w:val="26"/>
                <w:szCs w:val="26"/>
              </w:rPr>
              <w:t>казначейство и их рассмотрения Федеральным казначейством»</w:t>
            </w:r>
            <w:r w:rsidR="007C4975" w:rsidRPr="007C4975">
              <w:rPr>
                <w:sz w:val="26"/>
                <w:szCs w:val="26"/>
              </w:rPr>
              <w:t xml:space="preserve"> </w:t>
            </w:r>
            <w:proofErr w:type="spellStart"/>
            <w:r w:rsidR="007C4975" w:rsidRPr="007C4975">
              <w:rPr>
                <w:sz w:val="26"/>
                <w:szCs w:val="26"/>
              </w:rPr>
              <w:t>Куженерская</w:t>
            </w:r>
            <w:proofErr w:type="spellEnd"/>
            <w:r w:rsidR="007C4975" w:rsidRPr="007C4975">
              <w:rPr>
                <w:sz w:val="26"/>
                <w:szCs w:val="26"/>
              </w:rPr>
              <w:t xml:space="preserve"> городская администрация Куженерского муниципального района Республики Марий Эл</w:t>
            </w:r>
            <w:r w:rsidR="007C4975" w:rsidRPr="00C2454B">
              <w:rPr>
                <w:sz w:val="26"/>
                <w:szCs w:val="26"/>
              </w:rPr>
              <w:t xml:space="preserve"> в лице </w:t>
            </w:r>
            <w:r w:rsidR="007C4975" w:rsidRPr="007C4975">
              <w:rPr>
                <w:sz w:val="26"/>
                <w:szCs w:val="26"/>
              </w:rPr>
              <w:t xml:space="preserve">Главы </w:t>
            </w:r>
            <w:proofErr w:type="spellStart"/>
            <w:r w:rsidR="007C4975" w:rsidRPr="007C4975">
              <w:rPr>
                <w:sz w:val="26"/>
                <w:szCs w:val="26"/>
              </w:rPr>
              <w:t>Куженерской</w:t>
            </w:r>
            <w:proofErr w:type="spellEnd"/>
            <w:r w:rsidR="007C4975" w:rsidRPr="007C4975">
              <w:rPr>
                <w:sz w:val="26"/>
                <w:szCs w:val="26"/>
              </w:rPr>
              <w:t xml:space="preserve"> городской администрации Антоновой Марины Валерьевны,</w:t>
            </w:r>
            <w:r w:rsidR="007C4975" w:rsidRPr="00C2454B">
              <w:rPr>
                <w:sz w:val="26"/>
                <w:szCs w:val="26"/>
              </w:rPr>
              <w:t xml:space="preserve"> действующего на основании </w:t>
            </w:r>
            <w:r w:rsidR="007C4975" w:rsidRPr="007C4975">
              <w:rPr>
                <w:sz w:val="26"/>
                <w:szCs w:val="26"/>
              </w:rPr>
              <w:t xml:space="preserve">Устава городского поселения Куженер Куженерского муниципального </w:t>
            </w:r>
            <w:r w:rsidR="007C4975" w:rsidRPr="007C4975">
              <w:rPr>
                <w:sz w:val="26"/>
                <w:szCs w:val="26"/>
              </w:rPr>
              <w:lastRenderedPageBreak/>
              <w:t>района Республики Марий Эл от 16.08.2019 года № 211</w:t>
            </w:r>
            <w:r w:rsidR="007C4975" w:rsidRPr="00C2454B">
              <w:rPr>
                <w:sz w:val="26"/>
                <w:szCs w:val="26"/>
              </w:rPr>
              <w:t>, 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  <w:proofErr w:type="gramEnd"/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7C4975" w:rsidRPr="00C2454B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7C4975" w:rsidRPr="00C2454B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7C4975" w:rsidRPr="00C2454B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7C4975" w:rsidRPr="00C2454B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7C4975" w:rsidP="007C4975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7C4975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7C4975" w:rsidRPr="00500E42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7C4975" w:rsidRPr="00500E42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C160C3" w:rsidRPr="00C2454B" w:rsidRDefault="007C4975" w:rsidP="007C4975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C4975" w:rsidRPr="00C2454B" w:rsidTr="00E22146">
        <w:tc>
          <w:tcPr>
            <w:tcW w:w="10173" w:type="dxa"/>
            <w:gridSpan w:val="4"/>
            <w:shd w:val="clear" w:color="auto" w:fill="auto"/>
          </w:tcPr>
          <w:p w:rsidR="007C4975" w:rsidRPr="00500E42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C4975" w:rsidRPr="00C2454B" w:rsidTr="00E22146">
        <w:tc>
          <w:tcPr>
            <w:tcW w:w="10173" w:type="dxa"/>
            <w:gridSpan w:val="4"/>
            <w:shd w:val="clear" w:color="auto" w:fill="auto"/>
          </w:tcPr>
          <w:p w:rsidR="007C4975" w:rsidRDefault="007C4975" w:rsidP="007C4975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7C4975" w:rsidRDefault="007C4975" w:rsidP="000B11F0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участников казначейского сопровождения, и санкционирование операций по </w:t>
            </w:r>
            <w:r w:rsidRPr="00500E42">
              <w:rPr>
                <w:sz w:val="26"/>
                <w:szCs w:val="26"/>
              </w:rPr>
              <w:lastRenderedPageBreak/>
              <w:t xml:space="preserve">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C4975" w:rsidRPr="000B6D93" w:rsidRDefault="007C4975" w:rsidP="000B11F0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отдельных функций </w:t>
            </w:r>
            <w:r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Обращениям</w:t>
            </w:r>
            <w:r>
              <w:rPr>
                <w:sz w:val="26"/>
                <w:szCs w:val="26"/>
              </w:rPr>
              <w:t xml:space="preserve"> от 10 февраля 2021 года № 246; от 08 декабря 2021 года № 1603.</w:t>
            </w:r>
          </w:p>
          <w:p w:rsidR="007C4975" w:rsidRDefault="007C4975" w:rsidP="000B11F0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  <w:p w:rsidR="007C4975" w:rsidRPr="00C2454B" w:rsidRDefault="007C4975" w:rsidP="000B11F0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7C4975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7C4975" w:rsidRPr="003378E2" w:rsidRDefault="007C4975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3378E2"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 w:rsidRPr="003378E2">
              <w:rPr>
                <w:sz w:val="26"/>
                <w:szCs w:val="26"/>
              </w:rPr>
              <w:t>Куженерской</w:t>
            </w:r>
            <w:proofErr w:type="spellEnd"/>
          </w:p>
          <w:p w:rsidR="007C4975" w:rsidRPr="007C4975" w:rsidRDefault="007C4975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7C4975">
              <w:rPr>
                <w:sz w:val="26"/>
                <w:szCs w:val="26"/>
              </w:rPr>
              <w:t>городской администрации</w:t>
            </w:r>
          </w:p>
        </w:tc>
        <w:tc>
          <w:tcPr>
            <w:tcW w:w="2970" w:type="dxa"/>
            <w:shd w:val="clear" w:color="auto" w:fill="auto"/>
          </w:tcPr>
          <w:p w:rsidR="007C4975" w:rsidRDefault="007C497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C4975" w:rsidRPr="00C2454B" w:rsidRDefault="007C497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7C4975" w:rsidRDefault="007C497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C4975" w:rsidRPr="007C4975" w:rsidRDefault="007C4975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7C4975">
              <w:rPr>
                <w:sz w:val="26"/>
                <w:szCs w:val="26"/>
              </w:rPr>
              <w:t>М.В. Антонова</w:t>
            </w:r>
          </w:p>
        </w:tc>
      </w:tr>
      <w:tr w:rsidR="007C4975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7C4975" w:rsidRPr="00C2454B" w:rsidRDefault="007C497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7C4975" w:rsidRPr="00C2454B" w:rsidRDefault="007C497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7C4975" w:rsidRPr="00C2454B" w:rsidRDefault="007C497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BA" w:rsidRDefault="008442BA" w:rsidP="00C160C3">
      <w:r>
        <w:separator/>
      </w:r>
    </w:p>
  </w:endnote>
  <w:endnote w:type="continuationSeparator" w:id="0">
    <w:p w:rsidR="008442BA" w:rsidRDefault="008442BA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BA" w:rsidRDefault="008442BA" w:rsidP="00C160C3">
      <w:r>
        <w:separator/>
      </w:r>
    </w:p>
  </w:footnote>
  <w:footnote w:type="continuationSeparator" w:id="0">
    <w:p w:rsidR="008442BA" w:rsidRDefault="008442BA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5D3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50654"/>
    <w:rsid w:val="00054D07"/>
    <w:rsid w:val="00071CAD"/>
    <w:rsid w:val="000737B9"/>
    <w:rsid w:val="000B6D93"/>
    <w:rsid w:val="001179E0"/>
    <w:rsid w:val="00150E8D"/>
    <w:rsid w:val="00275968"/>
    <w:rsid w:val="002E496F"/>
    <w:rsid w:val="002F7664"/>
    <w:rsid w:val="003378E2"/>
    <w:rsid w:val="00365821"/>
    <w:rsid w:val="00381256"/>
    <w:rsid w:val="00557986"/>
    <w:rsid w:val="005B6A9B"/>
    <w:rsid w:val="005B7400"/>
    <w:rsid w:val="007069E4"/>
    <w:rsid w:val="0071071C"/>
    <w:rsid w:val="0073158B"/>
    <w:rsid w:val="00761489"/>
    <w:rsid w:val="0078237A"/>
    <w:rsid w:val="007B0D1A"/>
    <w:rsid w:val="007C4975"/>
    <w:rsid w:val="007E0BD2"/>
    <w:rsid w:val="00804E0B"/>
    <w:rsid w:val="008442BA"/>
    <w:rsid w:val="008D06A1"/>
    <w:rsid w:val="00936DEF"/>
    <w:rsid w:val="00952C03"/>
    <w:rsid w:val="009832D3"/>
    <w:rsid w:val="00997224"/>
    <w:rsid w:val="00AB3ACB"/>
    <w:rsid w:val="00B53ECC"/>
    <w:rsid w:val="00BD260E"/>
    <w:rsid w:val="00BE05D3"/>
    <w:rsid w:val="00C160C3"/>
    <w:rsid w:val="00C2454B"/>
    <w:rsid w:val="00CD554E"/>
    <w:rsid w:val="00D91837"/>
    <w:rsid w:val="00EE0042"/>
    <w:rsid w:val="00F44A3A"/>
    <w:rsid w:val="00F8744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5</cp:revision>
  <cp:lastPrinted>2022-10-04T06:49:00Z</cp:lastPrinted>
  <dcterms:created xsi:type="dcterms:W3CDTF">2022-09-30T11:17:00Z</dcterms:created>
  <dcterms:modified xsi:type="dcterms:W3CDTF">2022-10-04T06:49:00Z</dcterms:modified>
</cp:coreProperties>
</file>