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coordsize="14859,20685" path="m14858,20684l14858,0l0,0l0,20684e" stroked="f" o:allowincell="f" style="position:absolute;margin-left:-691.7pt;margin-top:-642.15pt;width:421.15pt;height:586.3pt">
                  <v:stroke color="#3465a4" joinstyle="round" endcap="flat"/>
                  <v:fill o:detectmouseclick="t" on="false"/>
                  <w10:wrap type="none"/>
                </v:shape>
              </w:pict>
              <w:pict>
                <v:shape id="shape_0" coordsize="20322,633" path="m20321,0l20321,632l0,632l0,0e" stroked="f" o:allowincell="f" style="position:absolute;margin-left:-846.5pt;margin-top:-73.75pt;width:576pt;height:17.9pt">
                  <v:stroke color="#3465a4" joinstyle="round" endcap="flat"/>
                  <v:fill o:detectmouseclick="t" on="false"/>
                  <w10:wrap type="none"/>
                </v:shape>
              </w:pict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>от 20 марта 2024 года №</w:t>
      </w:r>
      <w:r>
        <w:rPr>
          <w:color w:val="000000"/>
          <w:sz w:val="26"/>
          <w:szCs w:val="26"/>
          <w:lang w:val="en-US"/>
        </w:rPr>
        <w:t> 101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 Республики Марий Эл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В соответствии с постановлением Правительства Российской Федерации от 09.07.2016 г. №</w:t>
      </w:r>
      <w:r>
        <w:rPr>
          <w:color w:val="000000"/>
          <w:sz w:val="26"/>
          <w:szCs w:val="26"/>
          <w:lang w:val="en-US"/>
        </w:rPr>
        <w:t> </w:t>
      </w:r>
      <w:r>
        <w:rPr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руководствуясь Федеральным законом от 06.10.2003 г. №</w:t>
      </w:r>
      <w:r>
        <w:rPr>
          <w:color w:val="000000"/>
          <w:sz w:val="26"/>
          <w:szCs w:val="26"/>
          <w:lang w:val="en-US"/>
        </w:rPr>
        <w:t> </w:t>
      </w:r>
      <w:r>
        <w:rPr>
          <w:szCs w:val="28"/>
        </w:rPr>
        <w:t>131-ФЗ «Об общих принципах организации местного самоуправления в Российской Федерации», Жилищным кодексом Российской Федерации, Администрация Куженерского муниципального района Республики Марий Эл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 (Приложение №1).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 Республики Марий Эл (Приложение №2).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Комиссия в своей деятельности руководствуется формой акта, утвержденного приказом Министерства строительства и жилищно-коммунального хозяйства Российской Федерации от 23.11.2016 г. №</w:t>
      </w:r>
      <w:r>
        <w:rPr>
          <w:color w:val="000000"/>
          <w:sz w:val="26"/>
          <w:szCs w:val="26"/>
          <w:lang w:val="en-US"/>
        </w:rPr>
        <w:t> </w:t>
      </w:r>
      <w:r>
        <w:rPr/>
        <w:t>836/пр (Приложение №3).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Признать утратившим силу п</w:t>
      </w:r>
      <w:r>
        <w:rPr>
          <w:szCs w:val="28"/>
        </w:rPr>
        <w:t>остановление Администрации Куженерского муниципального района Республики Марий Эл от 22 августа 2016 года №</w:t>
      </w:r>
      <w:r>
        <w:rPr>
          <w:color w:val="000000"/>
          <w:sz w:val="26"/>
          <w:szCs w:val="26"/>
          <w:lang w:val="en-US"/>
        </w:rPr>
        <w:t> </w:t>
      </w:r>
      <w:r>
        <w:rPr>
          <w:szCs w:val="28"/>
        </w:rPr>
        <w:t>383 «О создании комиссии муниципального образования «Куженерский муниципальный район» для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заместителя главы Администрации по социальным вопросам Желонкину Н.Н.</w:t>
      </w:r>
    </w:p>
    <w:p>
      <w:pPr>
        <w:pStyle w:val="Style22"/>
        <w:jc w:val="left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4960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24" w:type="dxa"/>
        <w:jc w:val="left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2"/>
        <w:gridCol w:w="4421"/>
      </w:tblGrid>
      <w:tr>
        <w:trPr>
          <w:trHeight w:val="1360" w:hRule="atLeast"/>
        </w:trPr>
        <w:tc>
          <w:tcPr>
            <w:tcW w:w="5102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421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от 20 марта 2024 года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101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 МУНИЦИПАЛЬНОЙ КОМИССИИ</w:t>
      </w:r>
    </w:p>
    <w:p>
      <w:pPr>
        <w:pStyle w:val="Normal"/>
        <w:jc w:val="center"/>
        <w:rPr/>
      </w:pPr>
      <w:r>
        <w:rPr/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 Республики Марий Эл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5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79"/>
        <w:gridCol w:w="5900"/>
      </w:tblGrid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ЖЕЛОНКИНА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по социальным вопросам, председатель комиссии;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НОРИЦЫНА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советник отдела архитектуры, строительства и муниципального хозяйства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Администрации Куженерского муниципального района Республики Марий Эл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секретарь комиссии;</w:t>
            </w:r>
          </w:p>
        </w:tc>
      </w:tr>
      <w:tr>
        <w:trPr/>
        <w:tc>
          <w:tcPr>
            <w:tcW w:w="9579" w:type="dxa"/>
            <w:gridSpan w:val="2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ВАХРАНЕВА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специалист по социальной работе ГБУ РМЭ «Комплексный центр социального обслуживания населения в Куженерском районе» (по согласованию);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ДЕМЬЯНОВ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Валерий Геннадьевич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астер по жилищному фонду ООО «Коммунальник Куженерского района»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ДЕМЬЯНОВ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председатель Куженерского районного отделения Марийского регионального общества ООО «ВОИ»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заместитель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Республике Марий Эл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3679" w:type="dxa"/>
            <w:tcBorders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Главы городского и сельских поселений Куженерского муниципального района, в зависимости от того, на территории какого поселения будет проходить обследование</w:t>
            </w:r>
          </w:p>
        </w:tc>
        <w:tc>
          <w:tcPr>
            <w:tcW w:w="5900" w:type="dxa"/>
            <w:tcBorders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9524" w:type="dxa"/>
        <w:jc w:val="left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2"/>
        <w:gridCol w:w="4421"/>
      </w:tblGrid>
      <w:tr>
        <w:trPr>
          <w:trHeight w:val="1360" w:hRule="atLeast"/>
        </w:trPr>
        <w:tc>
          <w:tcPr>
            <w:tcW w:w="5102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421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Приложение №2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от 20 марта 2024 года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101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Куженерского муниципального района Республики Марий Эл (далее </w:t>
      </w:r>
      <w:r>
        <w:rPr>
          <w:rFonts w:eastAsia="Times New Roman"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 xml:space="preserve"> Комиссия) </w:t>
      </w:r>
      <w:r>
        <w:rPr>
          <w:rFonts w:ascii="Times New Roman" w:hAnsi="Times New Roman"/>
          <w:sz w:val="28"/>
        </w:rPr>
        <w:t>создана для обследования жилых помещений инвалидов и общего имущества в многоквартирном доме, в котором проживают инвалиды с учетом потребностей инвалида и обеспечения условий их доступности для инвалида, а так 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в своей деятельности руководствуется «Правилами обеспечения условий доступности для инвалидов жилых помещений и общего имущества в многоквартирном доме», утвержденными постановлением Правительства Российской Федерации от 09.07.2016 г. №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(далее − Правила).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Структура Комиссии</w:t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Состав Комиссии утверждается и изменяется постановлением Администрации Куженерского муниципального района Республики Марий Эл.</w:t>
      </w:r>
    </w:p>
    <w:p>
      <w:pPr>
        <w:pStyle w:val="NoSpacing"/>
        <w:numPr>
          <w:ilvl w:val="1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Председателем комиссии назначается заместитель Главы Администрации по социальным вопросам.</w:t>
      </w:r>
    </w:p>
    <w:p>
      <w:pPr>
        <w:pStyle w:val="NoSpacing"/>
        <w:numPr>
          <w:ilvl w:val="1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Комиссии включаются представители: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органов местного самоуправления, в том числе в сферах муниципального жилищного контроля, социальной защиты населения, архитектуры и градостроительства, и общественных объединений инвалидов.</w:t>
      </w:r>
    </w:p>
    <w:p>
      <w:pPr>
        <w:pStyle w:val="NoSpacing"/>
        <w:numPr>
          <w:ilvl w:val="1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Основная задача Комиссии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Основной задачей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− обследование), в том числе ограничений, вызванных: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задержками в развитии и другими функциями организма человека.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Функции Комиссии</w:t>
      </w:r>
    </w:p>
    <w:p>
      <w:pPr>
        <w:pStyle w:val="NoSpacing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Комиссия, в соответствии с возложенной на нее задачей, осуществляет следующие функции: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ascii="Times New Roman" w:hAnsi="Times New Roman"/>
          <w:sz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актов обследования в соответствии с действующим законодательством;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ascii="Times New Roman" w:hAnsi="Times New Roman"/>
          <w:sz w:val="28"/>
        </w:rPr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Права Комиссии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реализации своих задач Комиссия имеет право: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запрашивать и получать в установленном порядке от государственных органов власти, организаций, должностных лиц и граждан необходимые для деятельности Комиссии материалы, документы и информацию;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приглашать на заседания Комиссии представителей уполномоченных федеральных органов и иных лиц, участвующих в обследовании жилых помещений инвалидов и общего имущества в многоквартирных домах, в которых проживают инвалиды.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обязана: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своей деятельности руководствоваться действующим законодательством Российской Федерации, Республики Марий Эл, муниципальными правовыми актами Администрации Куженерского муниципального района Республики Марий Эл.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Организация работы Комиссии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Комиссии: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формирует повестку дня заседания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обеспечивает проведение заседания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обеспечивает выполнение решений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вносит предложения об изменении состава Комиссии;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 Комиссии: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осуществляет извещение членов Комиссии о повестке дня, дате, времени и месте проведения заседания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ведет протокол заседания Комиссии;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Комиссии исполняет обязанности председателя Комиссии.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принимают участие в обсуждении вопросов, вынесенных на рассмотрение Комиссии, а также обладают правом голоса по указанным вопросам;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проводят визуальный, технический осмотр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оценивают необходимость и возможность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 меры, необходимые для выполнения решений Комиссии.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осуществляет свою деятельность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 Заседание Комиссии проводятся не реже одного раза в полугодие.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Заседания Комиссии считаются правомочными, если на нем присутствуют не менее половины от общего числа членов Комиссии.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осуществляется Администрацией Куженерского муниципального района Республики Марий Эл.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обследования оформляется акт </w:t>
      </w:r>
      <w:r>
        <w:rPr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 акта обследования, утвержденной приказом Министерства строительства и жилищно-коммунального хозяйства Российской Федерации от 23.11.2016 №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836/пр (далее − акт обследования), содержащий: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характеристик жилого помещения инвалида и общего имущества, составленное на основании результатов обследования;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перечень требований из числа требований, предусмотренных разделами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09.06.2016 г. №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(далее − Правила), которым не соответствует обследуемое жилое помещение инвалида (если такие несоответствия были выявлены);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−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Перечень мероприятий может включать в себя: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минимальный перечень мероприятий, финансирование которых осуществляется за счет средств бюджета субъекта Российской Федерации, бюджета Куженерского муниципального района в соответствии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с утвержденными в установленном порядке муниципальными программами, </w:t>
      </w:r>
      <w:r>
        <w:rPr>
          <w:rFonts w:cs="Times New Roman" w:ascii="Times New Roman" w:hAnsi="Times New Roman"/>
          <w:sz w:val="28"/>
          <w:szCs w:val="28"/>
        </w:rPr>
        <w:t xml:space="preserve">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Правил;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бюджета Куженерского муниципального района в соответствии с утвержденными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в установленном порядке государственными и муниципальными программами, направленными на обеспечение социальной поддержки инвалидов. </w:t>
      </w:r>
      <w:r>
        <w:rPr>
          <w:rFonts w:cs="Times New Roman" w:ascii="Times New Roman" w:hAnsi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r>
        <w:rPr>
          <w:rStyle w:val="-"/>
          <w:rFonts w:cs="Times New Roman" w:ascii="Times New Roman" w:hAnsi="Times New Roman"/>
          <w:color w:val="000000"/>
          <w:sz w:val="28"/>
          <w:szCs w:val="28"/>
          <w:u w:val="none"/>
        </w:rPr>
        <w:t xml:space="preserve">разделом </w:t>
      </w:r>
      <w:r>
        <w:rPr>
          <w:rStyle w:val="-"/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III</w:t>
      </w:r>
      <w:r>
        <w:rPr>
          <w:rStyle w:val="-"/>
          <w:rFonts w:cs="Times New Roman" w:ascii="Times New Roman" w:hAnsi="Times New Roman"/>
          <w:color w:val="000000"/>
          <w:sz w:val="28"/>
          <w:szCs w:val="28"/>
          <w:u w:val="none"/>
        </w:rPr>
        <w:t xml:space="preserve"> Правил;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Style w:val="-"/>
          <w:rFonts w:cs="Times New Roman" w:ascii="Times New Roman" w:hAnsi="Times New Roman"/>
          <w:color w:val="000000"/>
          <w:sz w:val="28"/>
          <w:szCs w:val="28"/>
          <w:u w:val="none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7"/>
          <w:szCs w:val="27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составленные по формам, утвержденным Министерством строительства и жилищно-коммунального хозяйства Российской Федерации.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в течение 10 календарных дней со дня вынесения соответствующего заключения в письменной форме информирует о нем инвалида, проживающего в обследованном жилом помещении, и направляет ему копию указанного заключения.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акта обследования;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6.13 настоящего Положения.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акта обследования;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6.13 настоящего Положения.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принятия решения о включении мероприятий в план мероприятий заключение, предусмотренное пунктом 6.16 настоящего Положения, в течение 10 календарных дней со дня его вынесения направляется Комиссией главе Администрации Куженерского муниципального района Республики Марий Эл.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Ответственность Комиссии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Ответственность за выполнение возложенных на Комиссию задач и функций несет председатель Комиссии.</w:t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tbl>
      <w:tblPr>
        <w:tblW w:w="9300" w:type="dxa"/>
        <w:jc w:val="left"/>
        <w:tblInd w:w="1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20"/>
        <w:gridCol w:w="4879"/>
      </w:tblGrid>
      <w:tr>
        <w:trPr>
          <w:trHeight w:val="1360" w:hRule="atLeast"/>
        </w:trPr>
        <w:tc>
          <w:tcPr>
            <w:tcW w:w="4420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87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№3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от 20 марта 2024 года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101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приказом Министерства строительства и жилищно-коммунального хозяйства Российской Федерации 23.11.2016 г.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836/пр</w:t>
            </w:r>
          </w:p>
        </w:tc>
      </w:tr>
    </w:tbl>
    <w:p>
      <w:pPr>
        <w:pStyle w:val="Normal"/>
        <w:ind w:left="482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820" w:hanging="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Normal"/>
        <w:ind w:left="482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widowControl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 №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</w:rPr>
        <w:t>__</w:t>
      </w:r>
    </w:p>
    <w:p>
      <w:pPr>
        <w:pStyle w:val="ConsPlusNonformat"/>
        <w:widowControl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p>
      <w:pPr>
        <w:pStyle w:val="ConsPlusNonformat"/>
        <w:widowControl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Style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/>
          </w:tcPr>
          <w:p>
            <w:pPr>
              <w:pStyle w:val="Style31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 __ г.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</w:r>
      <w:r>
        <w:rPr>
          <w:sz w:val="26"/>
          <w:szCs w:val="26"/>
        </w:rPr>
        <w:t xml:space="preserve">Комиссия </w:t>
      </w:r>
      <w:r>
        <w:rPr>
          <w:rFonts w:cs="Times New Roman"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в целях их приспособления с учетом потребностей инвалидов и обеспечения условий их доступности для инвалидов, в составе: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____________________________________________________________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членов комиссии: 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sz w:val="16"/>
          <w:szCs w:val="16"/>
        </w:rPr>
        <w:t>(Ф.И.О. членов Комиссии с указанием представителем какого органа (организации) он является и занимаемой должности)</w:t>
      </w:r>
    </w:p>
    <w:p>
      <w:pPr>
        <w:pStyle w:val="Normal"/>
        <w:spacing w:before="0" w:after="57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созданная постановлением Администрации Куженерского муниципального района от «___» ________ 20__ года № ___ ,</w:t>
      </w:r>
    </w:p>
    <w:p>
      <w:pPr>
        <w:pStyle w:val="Normal"/>
        <w:spacing w:before="0" w:after="57"/>
        <w:ind w:right="-1" w:hanging="0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(указываются реквизиты акта о создании Комиссии)</w:t>
      </w:r>
    </w:p>
    <w:p>
      <w:pPr>
        <w:pStyle w:val="Normal"/>
        <w:spacing w:before="0" w:after="57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</w:t>
      </w:r>
      <w:r>
        <w:rPr>
          <w:color w:val="000000"/>
          <w:sz w:val="26"/>
          <w:szCs w:val="26"/>
        </w:rPr>
        <w:t xml:space="preserve">и с планом мероприятия, </w:t>
      </w:r>
      <w:r>
        <w:rPr>
          <w:sz w:val="26"/>
          <w:szCs w:val="26"/>
        </w:rPr>
        <w:t>утвержденным постановлением Администрации Куженерского муниципального района от «___» ________ 20__ года № ___ ,</w:t>
      </w:r>
    </w:p>
    <w:p>
      <w:pPr>
        <w:pStyle w:val="Normal"/>
        <w:spacing w:before="0" w:after="57"/>
        <w:ind w:right="-1" w:hanging="0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(указывается дата утверждения плана мероприятий и кем он утвержден)</w:t>
      </w:r>
    </w:p>
    <w:p>
      <w:pPr>
        <w:pStyle w:val="Normal"/>
        <w:spacing w:before="0" w:after="57"/>
        <w:ind w:right="-1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>провела обследование жилого помещения инвалида, расположенного в многоквартирном доме, по адресу:</w:t>
      </w:r>
      <w:r>
        <w:rPr>
          <w:color w:val="000000"/>
          <w:sz w:val="26"/>
          <w:szCs w:val="26"/>
        </w:rPr>
        <w:t xml:space="preserve"> _________________________________________.</w:t>
      </w:r>
    </w:p>
    <w:p>
      <w:pPr>
        <w:pStyle w:val="Normal"/>
        <w:spacing w:before="0" w:after="57"/>
        <w:ind w:right="-1" w:hanging="0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(указывается полный адрес: индекс отделения почтовой связи, субъект РФ/округ,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>
      <w:pPr>
        <w:pStyle w:val="Normal"/>
        <w:spacing w:before="0" w:after="57"/>
        <w:ind w:right="-1" w:hanging="0"/>
        <w:jc w:val="both"/>
        <w:rPr/>
      </w:pPr>
      <w:r>
        <w:rPr>
          <w:color w:val="000000"/>
          <w:sz w:val="26"/>
          <w:szCs w:val="26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</w:t>
      </w:r>
      <w:hyperlink r:id="rId3">
        <w:r>
          <w:rPr>
            <w:rStyle w:val="-"/>
            <w:color w:val="000000"/>
            <w:sz w:val="26"/>
            <w:szCs w:val="26"/>
            <w:u w:val="none"/>
            <w:lang w:val="en-US"/>
          </w:rPr>
          <w:t>III</w:t>
        </w:r>
      </w:hyperlink>
      <w:r>
        <w:rPr>
          <w:color w:val="000000"/>
          <w:sz w:val="26"/>
          <w:szCs w:val="26"/>
        </w:rPr>
        <w:t xml:space="preserve"> и </w:t>
      </w:r>
      <w:hyperlink r:id="rId4">
        <w:r>
          <w:rPr>
            <w:rStyle w:val="-"/>
            <w:color w:val="000000"/>
            <w:sz w:val="26"/>
            <w:szCs w:val="26"/>
            <w:u w:val="none"/>
            <w:lang w:val="en-US"/>
          </w:rPr>
          <w:t>IV</w:t>
        </w:r>
      </w:hyperlink>
      <w:r>
        <w:rPr>
          <w:color w:val="000000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г. №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649 (далее </w:t>
      </w:r>
      <w:r>
        <w:rPr>
          <w:rFonts w:cs="Times New Roman"/>
          <w:color w:val="000000"/>
          <w:szCs w:val="28"/>
        </w:rPr>
        <w:t>−</w:t>
      </w:r>
      <w:r>
        <w:rPr>
          <w:color w:val="000000"/>
          <w:sz w:val="26"/>
          <w:szCs w:val="26"/>
        </w:rPr>
        <w:t xml:space="preserve"> требования).</w:t>
      </w:r>
    </w:p>
    <w:p>
      <w:pPr>
        <w:pStyle w:val="Normal"/>
        <w:spacing w:before="0" w:after="57"/>
        <w:ind w:right="-1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обследовании жилого помещения инвалида и общего имущества в многоквартирном доме, в котором проживает инвалид, присутствовали: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(Ф.И.О. гражданина, являющегося инвалидом и проживающего в обследуемом жилом помещении)</w:t>
      </w:r>
    </w:p>
    <w:p>
      <w:pPr>
        <w:pStyle w:val="Normal"/>
        <w:spacing w:before="0" w:after="5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(Ф.И.О. законного представителя инвалида с указанием подтверждающих документов)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многоквартирном домом)</w:t>
      </w:r>
    </w:p>
    <w:p>
      <w:pPr>
        <w:pStyle w:val="Normal"/>
        <w:spacing w:before="0" w:after="57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обследования жилого помещения инвалида и общего имущества в многоквартирном доме Комиссией установлено: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 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(описание характеристик обследуемого жилого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в результате обследования несоответствия не выявлены 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(перечень требований, которым не соответствует обследуемое жилое помещение инвалида и (или) общее имущество в многоквартирном доме, в котором проживает инвалид (если такие несоответствия были выявлены в результате обследования)</w:t>
      </w:r>
    </w:p>
    <w:p>
      <w:pPr>
        <w:pStyle w:val="Normal"/>
        <w:spacing w:before="0" w:after="57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основании изложенного Комиссия пришла к следующим выводам: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>
      <w:pPr>
        <w:pStyle w:val="Normal"/>
        <w:spacing w:before="0" w:after="57"/>
        <w:ind w:right="-1" w:firstLine="709"/>
        <w:jc w:val="both"/>
        <w:rPr/>
      </w:pPr>
      <w:r>
        <w:rPr>
          <w:color w:val="000000"/>
          <w:sz w:val="26"/>
          <w:szCs w:val="26"/>
        </w:rPr>
        <w:t xml:space="preserve"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>
        <w:fldChar w:fldCharType="begin"/>
      </w:r>
      <w:r>
        <w:rPr>
          <w:sz w:val="26"/>
          <w:u w:val="single"/>
          <w:szCs w:val="26"/>
          <w:rFonts w:cs="Times New Roman"/>
          <w:color w:val="005EA5"/>
          <w:lang w:eastAsia="ru-RU"/>
        </w:rPr>
        <w:instrText xml:space="preserve"> HYPERLINK "https://legalacts.ru/doc/prikaz-minstroja-rossii-ot-23112016-n-836pr-ob-utverzhdenii/" \l "100025"</w:instrText>
      </w:r>
      <w:r>
        <w:rPr>
          <w:sz w:val="26"/>
          <w:u w:val="single"/>
          <w:szCs w:val="26"/>
          <w:rFonts w:cs="Times New Roman"/>
          <w:color w:val="005EA5"/>
          <w:lang w:eastAsia="ru-RU"/>
        </w:rPr>
        <w:fldChar w:fldCharType="separate"/>
      </w:r>
      <w:r>
        <w:rPr>
          <w:rFonts w:cs="Times New Roman"/>
          <w:color w:val="005EA5"/>
          <w:sz w:val="26"/>
          <w:szCs w:val="26"/>
          <w:u w:val="single"/>
          <w:lang w:eastAsia="ru-RU"/>
        </w:rPr>
        <w:t>&lt;1&gt;</w:t>
      </w:r>
      <w:r>
        <w:rPr>
          <w:sz w:val="26"/>
          <w:u w:val="single"/>
          <w:szCs w:val="26"/>
          <w:rFonts w:cs="Times New Roman"/>
          <w:color w:val="005EA5"/>
          <w:lang w:eastAsia="ru-RU"/>
        </w:rPr>
        <w:fldChar w:fldCharType="end"/>
      </w:r>
      <w:r>
        <w:rPr>
          <w:color w:val="000000"/>
          <w:sz w:val="26"/>
          <w:szCs w:val="26"/>
        </w:rPr>
        <w:t>: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</w:r>
    </w:p>
    <w:p>
      <w:pPr>
        <w:pStyle w:val="Normal"/>
        <w:spacing w:before="0" w:after="57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>
      <w:pPr>
        <w:pStyle w:val="Normal"/>
        <w:spacing w:before="0" w:after="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57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</w:r>
    </w:p>
    <w:p>
      <w:pPr>
        <w:pStyle w:val="Normal"/>
        <w:spacing w:before="0" w:after="57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ind w:right="-1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57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Настоящий акт составлен в ___ ( ___ ) экземплярах.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Члены Комиссии </w:t>
      </w:r>
      <w:r>
        <w:fldChar w:fldCharType="begin"/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instrText xml:space="preserve"> HYPERLINK "https://legalacts.ru/doc/prikaz-minstroja-rossii-ot-23112016-n-836pr-ob-utverzhdenii/" \l "100026"</w:instrTex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separate"/>
      </w:r>
      <w:r>
        <w:rPr>
          <w:rFonts w:cs="Times New Roman" w:ascii="Times New Roman" w:hAnsi="Times New Roman"/>
          <w:color w:val="005EA5"/>
          <w:sz w:val="26"/>
          <w:szCs w:val="26"/>
          <w:u w:val="single"/>
        </w:rPr>
        <w:t>&lt;2&gt;</w: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end"/>
      </w:r>
      <w:r>
        <w:rPr>
          <w:rFonts w:cs="Times New Roman" w:ascii="Times New Roman" w:hAnsi="Times New Roman"/>
          <w:color w:val="000000"/>
          <w:sz w:val="26"/>
          <w:szCs w:val="26"/>
        </w:rPr>
        <w:t>:</w:t>
      </w:r>
    </w:p>
    <w:tbl>
      <w:tblPr>
        <w:tblW w:w="5423" w:type="dxa"/>
        <w:jc w:val="left"/>
        <w:tblInd w:w="3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4"/>
        <w:gridCol w:w="1814"/>
        <w:gridCol w:w="1915"/>
      </w:tblGrid>
      <w:tr>
        <w:trPr/>
        <w:tc>
          <w:tcPr>
            <w:tcW w:w="1694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14" w:type="dxa"/>
            <w:tcBorders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15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4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</w:t>
            </w:r>
          </w:p>
        </w:tc>
      </w:tr>
    </w:tbl>
    <w:p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Лица, присутствовавшие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при обследовании </w:t>
      </w:r>
      <w:r>
        <w:fldChar w:fldCharType="begin"/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instrText xml:space="preserve"> HYPERLINK "https://legalacts.ru/doc/prikaz-minstroja-rossii-ot-23112016-n-836pr-ob-utverzhdenii/" \l "100027"</w:instrTex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separate"/>
      </w:r>
      <w:r>
        <w:rPr>
          <w:rFonts w:cs="Times New Roman" w:ascii="Times New Roman" w:hAnsi="Times New Roman"/>
          <w:color w:val="005EA5"/>
          <w:sz w:val="26"/>
          <w:szCs w:val="26"/>
          <w:u w:val="single"/>
        </w:rPr>
        <w:t>&lt;3&gt;</w: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end"/>
      </w:r>
      <w:r>
        <w:rPr>
          <w:rFonts w:cs="Times New Roman" w:ascii="Times New Roman" w:hAnsi="Times New Roman"/>
          <w:color w:val="000000"/>
          <w:sz w:val="26"/>
          <w:szCs w:val="26"/>
        </w:rPr>
        <w:t>:</w:t>
      </w:r>
    </w:p>
    <w:p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435" w:type="dxa"/>
        <w:jc w:val="left"/>
        <w:tblInd w:w="36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4"/>
        <w:gridCol w:w="1813"/>
        <w:gridCol w:w="1928"/>
      </w:tblGrid>
      <w:tr>
        <w:trPr/>
        <w:tc>
          <w:tcPr>
            <w:tcW w:w="1694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8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4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</w:t>
            </w:r>
          </w:p>
        </w:tc>
      </w:tr>
    </w:tbl>
    <w:p>
      <w:pPr>
        <w:pStyle w:val="Normal"/>
        <w:ind w:left="4820" w:hanging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Гражданин, являющийся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инвалидом, проживающий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обследуемом жилом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помещении, либо его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законный представитель,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проживающие в жилом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помещении члены семьи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инвалида, присутствовавшие</w:t>
      </w:r>
    </w:p>
    <w:p>
      <w:pPr>
        <w:pStyle w:val="ConsPlusNonformat"/>
        <w:widowControl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обследовании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жилого помещения </w:t>
      </w:r>
      <w:r>
        <w:fldChar w:fldCharType="begin"/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instrText xml:space="preserve"> HYPERLINK "https://legalacts.ru/doc/prikaz-minstroja-rossii-ot-23112016-n-836pr-ob-utverzhdenii/" \l "100028"</w:instrTex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separate"/>
      </w:r>
      <w:r>
        <w:rPr>
          <w:rFonts w:cs="Times New Roman" w:ascii="Times New Roman" w:hAnsi="Times New Roman"/>
          <w:color w:val="005EA5"/>
          <w:sz w:val="26"/>
          <w:szCs w:val="26"/>
          <w:u w:val="single"/>
        </w:rPr>
        <w:t>&lt;4&gt;</w:t>
      </w:r>
      <w:r>
        <w:rPr>
          <w:sz w:val="26"/>
          <w:u w:val="single"/>
          <w:szCs w:val="26"/>
          <w:rFonts w:cs="Times New Roman" w:ascii="Times New Roman" w:hAnsi="Times New Roman"/>
          <w:color w:val="005EA5"/>
        </w:rPr>
        <w:fldChar w:fldCharType="end"/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435" w:type="dxa"/>
        <w:jc w:val="left"/>
        <w:tblInd w:w="36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4"/>
        <w:gridCol w:w="1813"/>
        <w:gridCol w:w="1928"/>
      </w:tblGrid>
      <w:tr>
        <w:trPr/>
        <w:tc>
          <w:tcPr>
            <w:tcW w:w="1694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8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4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ConsPlusNonformat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</w:t>
            </w:r>
          </w:p>
        </w:tc>
      </w:tr>
    </w:tbl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fldChar w:fldCharType="begin"/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instrText xml:space="preserve"> HYPERLINK "https://legalacts.ru/doc/prikaz-minstroja-rossii-ot-23112016-n-836pr-ob-utverzhdenii/" \l "100025"</w:instrTex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separate"/>
      </w:r>
      <w:r>
        <w:rPr>
          <w:rFonts w:cs="Times New Roman"/>
          <w:color w:val="005EA5"/>
          <w:sz w:val="22"/>
          <w:szCs w:val="22"/>
          <w:u w:val="single"/>
          <w:lang w:eastAsia="ru-RU"/>
        </w:rPr>
        <w:t>&lt;1&gt;</w: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end"/>
      </w:r>
      <w:r>
        <w:rPr>
          <w:rFonts w:cs="Times New Roman"/>
          <w:color w:val="005EA5"/>
          <w:sz w:val="22"/>
          <w:szCs w:val="22"/>
          <w:lang w:eastAsia="ru-RU"/>
        </w:rPr>
        <w:t xml:space="preserve"> </w:t>
      </w:r>
      <w:r>
        <w:rPr>
          <w:rFonts w:cs="Times New Roman"/>
          <w:sz w:val="22"/>
          <w:szCs w:val="22"/>
        </w:rPr>
        <w:t>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Normal"/>
        <w:jc w:val="both"/>
        <w:rPr>
          <w:rFonts w:cs="Times New Roman"/>
          <w:szCs w:val="28"/>
        </w:rPr>
      </w:pPr>
      <w:r>
        <w:fldChar w:fldCharType="begin"/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instrText xml:space="preserve"> HYPERLINK "https://legalacts.ru/doc/prikaz-minstroja-rossii-ot-23112016-n-836pr-ob-utverzhdenii/" \l "100026"</w:instrTex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separate"/>
      </w:r>
      <w:r>
        <w:rPr>
          <w:rFonts w:cs="Times New Roman"/>
          <w:color w:val="005EA5"/>
          <w:sz w:val="22"/>
          <w:szCs w:val="22"/>
          <w:u w:val="single"/>
          <w:lang w:eastAsia="ru-RU"/>
        </w:rPr>
        <w:t>&lt;2&gt;</w: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end"/>
      </w:r>
      <w:r>
        <w:rPr>
          <w:rFonts w:cs="Times New Roman"/>
          <w:color w:val="005EA5"/>
          <w:sz w:val="22"/>
          <w:szCs w:val="22"/>
          <w:lang w:eastAsia="ru-RU"/>
        </w:rPr>
        <w:t xml:space="preserve"> </w:t>
      </w:r>
      <w:r>
        <w:rPr>
          <w:rFonts w:cs="Times New Roman"/>
          <w:sz w:val="22"/>
          <w:szCs w:val="22"/>
        </w:rPr>
        <w:t>Количество мест для подписей должно соответствовать количеству членов комиссии.</w:t>
      </w:r>
    </w:p>
    <w:p>
      <w:pPr>
        <w:pStyle w:val="Normal"/>
        <w:jc w:val="both"/>
        <w:rPr/>
      </w:pPr>
      <w:r>
        <w:fldChar w:fldCharType="begin"/>
      </w:r>
      <w:r>
        <w:rPr>
          <w:sz w:val="22"/>
          <w:u w:val="single"/>
          <w:szCs w:val="22"/>
          <w:color w:val="005EA5"/>
          <w:lang w:eastAsia="ru-RU"/>
        </w:rPr>
        <w:instrText xml:space="preserve"> HYPERLINK "https://legalacts.ru/doc/prikaz-minstroja-rossii-ot-23112016-n-836pr-ob-utverzhdenii/" \l "100027"</w:instrText>
      </w:r>
      <w:r>
        <w:rPr>
          <w:sz w:val="22"/>
          <w:u w:val="single"/>
          <w:szCs w:val="22"/>
          <w:color w:val="005EA5"/>
          <w:lang w:eastAsia="ru-RU"/>
        </w:rPr>
        <w:fldChar w:fldCharType="separate"/>
      </w:r>
      <w:r>
        <w:rPr>
          <w:color w:val="005EA5"/>
          <w:sz w:val="22"/>
          <w:szCs w:val="22"/>
          <w:u w:val="single"/>
          <w:lang w:eastAsia="ru-RU"/>
        </w:rPr>
        <w:t>&lt;3&gt;</w:t>
      </w:r>
      <w:r>
        <w:rPr>
          <w:sz w:val="22"/>
          <w:u w:val="single"/>
          <w:szCs w:val="22"/>
          <w:color w:val="005EA5"/>
          <w:lang w:eastAsia="ru-RU"/>
        </w:rPr>
        <w:fldChar w:fldCharType="end"/>
      </w:r>
      <w:r>
        <w:rPr>
          <w:color w:val="005EA5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Количество мест для подписей должно соответствовать количеству лиц, присутствовавших при обследовании.</w:t>
      </w:r>
    </w:p>
    <w:p>
      <w:pPr>
        <w:pStyle w:val="Normal"/>
        <w:jc w:val="both"/>
        <w:rPr/>
      </w:pPr>
      <w:r>
        <w:fldChar w:fldCharType="begin"/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instrText xml:space="preserve"> HYPERLINK "https://legalacts.ru/doc/prikaz-minstroja-rossii-ot-23112016-n-836pr-ob-utverzhdenii/" \l "100028"</w:instrTex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separate"/>
      </w:r>
      <w:r>
        <w:rPr>
          <w:rFonts w:cs="Times New Roman"/>
          <w:color w:val="005EA5"/>
          <w:sz w:val="22"/>
          <w:szCs w:val="22"/>
          <w:u w:val="single"/>
          <w:lang w:eastAsia="ru-RU"/>
        </w:rPr>
        <w:t>&lt;4&gt;</w:t>
      </w:r>
      <w:r>
        <w:rPr>
          <w:sz w:val="22"/>
          <w:u w:val="single"/>
          <w:szCs w:val="22"/>
          <w:rFonts w:cs="Times New Roman"/>
          <w:color w:val="005EA5"/>
          <w:lang w:eastAsia="ru-RU"/>
        </w:rPr>
        <w:fldChar w:fldCharType="end"/>
      </w:r>
      <w:r>
        <w:rPr>
          <w:rFonts w:cs="Times New Roman"/>
          <w:color w:val="005EA5"/>
          <w:sz w:val="22"/>
          <w:szCs w:val="22"/>
          <w:lang w:eastAsia="ru-RU"/>
        </w:rPr>
        <w:t xml:space="preserve"> </w:t>
      </w:r>
      <w:r>
        <w:rPr>
          <w:rFonts w:cs="Times New Roman"/>
          <w:color w:val="000000"/>
          <w:sz w:val="22"/>
          <w:szCs w:val="22"/>
          <w:lang w:eastAsia="ru-RU"/>
        </w:rPr>
        <w:t>Количество мест для подписей должно соответствовать количеству лиц, присутствовавших при обследовании.</w:t>
      </w:r>
    </w:p>
    <w:p>
      <w:pPr>
        <w:pStyle w:val="Normal"/>
        <w:ind w:left="4820" w:hanging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850"/>
      </w:pPr>
      <w:rPr>
        <w:sz w:val="28"/>
        <w:szCs w:val="28"/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 w:customStyle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sid w:val="003d747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6"/>
    <w:qFormat/>
    <w:rsid w:val="003d747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sid w:val="003d747d"/>
    <w:rPr>
      <w:rFonts w:ascii="Times New Roman" w:hAnsi="Times New Roman"/>
      <w:sz w:val="28"/>
      <w:szCs w:val="28"/>
    </w:rPr>
  </w:style>
  <w:style w:type="character" w:styleId="Style18" w:customStyle="1">
    <w:name w:val="Исходный текст"/>
    <w:qFormat/>
    <w:rsid w:val="003d747d"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sid w:val="003d747d"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sid w:val="003d747d"/>
    <w:rPr>
      <w:rFonts w:ascii="OpenSymbol" w:hAnsi="OpenSymbol" w:eastAsia="OpenSymbol" w:cs="OpenSymbol"/>
    </w:rPr>
  </w:style>
  <w:style w:type="paragraph" w:styleId="Style21" w:customStyle="1">
    <w:name w:val="Заголовок"/>
    <w:basedOn w:val="Normal"/>
    <w:next w:val="Style22"/>
    <w:qFormat/>
    <w:rsid w:val="003d747d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rsid w:val="003d747d"/>
    <w:pPr/>
    <w:rPr>
      <w:rFonts w:cs="Mangal"/>
    </w:rPr>
  </w:style>
  <w:style w:type="paragraph" w:styleId="Style24" w:customStyle="1">
    <w:name w:val="Caption"/>
    <w:basedOn w:val="Normal"/>
    <w:qFormat/>
    <w:rsid w:val="003d7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d747d"/>
    <w:pPr>
      <w:suppressLineNumbers/>
    </w:pPr>
    <w:rPr>
      <w:rFonts w:cs="Mangal"/>
    </w:rPr>
  </w:style>
  <w:style w:type="paragraph" w:styleId="Style26">
    <w:name w:val="Title"/>
    <w:basedOn w:val="Normal"/>
    <w:next w:val="Style22"/>
    <w:qFormat/>
    <w:rsid w:val="003d747d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rsid w:val="003d7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 w:customStyle="1">
    <w:name w:val="Колонтитул"/>
    <w:basedOn w:val="Normal"/>
    <w:qFormat/>
    <w:rsid w:val="003d747d"/>
    <w:pPr/>
    <w:rPr/>
  </w:style>
  <w:style w:type="paragraph" w:styleId="Style28" w:customStyle="1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rsid w:val="003d747d"/>
    <w:pPr/>
    <w:rPr/>
  </w:style>
  <w:style w:type="paragraph" w:styleId="2" w:customStyle="1">
    <w:name w:val="Основной текст2"/>
    <w:basedOn w:val="Normal"/>
    <w:qFormat/>
    <w:rsid w:val="003d747d"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rsid w:val="003d747d"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rsid w:val="003d747d"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rsid w:val="003d747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rsid w:val="003d747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rsid w:val="003d747d"/>
    <w:pPr>
      <w:widowControl w:val="false"/>
      <w:suppressLineNumbers/>
    </w:pPr>
    <w:rPr/>
  </w:style>
  <w:style w:type="paragraph" w:styleId="ConsPlusNonformat" w:customStyle="1">
    <w:name w:val="ConsPlusNonformat"/>
    <w:qFormat/>
    <w:rsid w:val="003d747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d747d"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rsid w:val="003d74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_blank" TargetMode="External"/><Relationship Id="rId4" Type="http://schemas.openxmlformats.org/officeDocument/2006/relationships/hyperlink" Target="_blan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Application>LibreOffice/7.5.6.2$Windows_x86 LibreOffice_project/f654817fb68d6d4600d7d2f6b647e47729f55f15</Application>
  <AppVersion>15.0000</AppVersion>
  <Pages>14</Pages>
  <Words>3535</Words>
  <Characters>26351</Characters>
  <CharactersWithSpaces>29706</CharactersWithSpaces>
  <Paragraphs>211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2024-03-21T14:37:39Z</cp:lastPrinted>
  <dcterms:modified xsi:type="dcterms:W3CDTF">2024-03-21T14:33:20Z</dcterms:modified>
  <cp:revision>303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