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"МР 2.4.0330-23. 2.4. Гигиена детей и подростков. Методические рекомендации по обеспечению санитарно-эпидемиологических требований при реализации образовательных программ с применением электронного обучения и дистанционных образовательных технологий. Методические рекомендации"</w:t>
              <w:br/>
              <w:t xml:space="preserve">(утв. Главным государственным санитарным врачом РФ 29.08.2023)</w:t>
              <w:br/>
              <w:t xml:space="preserve">(вместе с "Рекомендациями для родителей (законных представителей) по сокращению экранного времени у детей")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16.01.2024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Утверждаю</w:t>
      </w:r>
    </w:p>
    <w:p>
      <w:pPr>
        <w:pStyle w:val="0"/>
        <w:jc w:val="right"/>
      </w:pPr>
      <w:r>
        <w:rPr>
          <w:sz w:val="20"/>
        </w:rPr>
        <w:t xml:space="preserve">Руководитель Федеральной службы</w:t>
      </w:r>
    </w:p>
    <w:p>
      <w:pPr>
        <w:pStyle w:val="0"/>
        <w:jc w:val="right"/>
      </w:pPr>
      <w:r>
        <w:rPr>
          <w:sz w:val="20"/>
        </w:rPr>
        <w:t xml:space="preserve">по надзору в сфере защиты прав</w:t>
      </w:r>
    </w:p>
    <w:p>
      <w:pPr>
        <w:pStyle w:val="0"/>
        <w:jc w:val="right"/>
      </w:pPr>
      <w:r>
        <w:rPr>
          <w:sz w:val="20"/>
        </w:rPr>
        <w:t xml:space="preserve">потребителей и благополучия человека,</w:t>
      </w:r>
    </w:p>
    <w:p>
      <w:pPr>
        <w:pStyle w:val="0"/>
        <w:jc w:val="right"/>
      </w:pPr>
      <w:r>
        <w:rPr>
          <w:sz w:val="20"/>
        </w:rPr>
        <w:t xml:space="preserve">Главный государственный санитарный</w:t>
      </w:r>
    </w:p>
    <w:p>
      <w:pPr>
        <w:pStyle w:val="0"/>
        <w:jc w:val="right"/>
      </w:pPr>
      <w:r>
        <w:rPr>
          <w:sz w:val="20"/>
        </w:rPr>
        <w:t xml:space="preserve">врач Российской Федерации</w:t>
      </w:r>
    </w:p>
    <w:p>
      <w:pPr>
        <w:pStyle w:val="0"/>
        <w:jc w:val="right"/>
      </w:pPr>
      <w:r>
        <w:rPr>
          <w:sz w:val="20"/>
        </w:rPr>
        <w:t xml:space="preserve">А.Ю.ПОПОВА</w:t>
      </w:r>
    </w:p>
    <w:p>
      <w:pPr>
        <w:pStyle w:val="0"/>
        <w:jc w:val="right"/>
      </w:pPr>
      <w:r>
        <w:rPr>
          <w:sz w:val="20"/>
        </w:rPr>
        <w:t xml:space="preserve">29 августа 2023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2.4. ГИГИЕНА ДЕТЕЙ И ПОДРОСТКОВ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МЕТОДИЧЕСКИЕ РЕКОМЕНДАЦИИ</w:t>
      </w:r>
    </w:p>
    <w:p>
      <w:pPr>
        <w:pStyle w:val="2"/>
        <w:jc w:val="center"/>
      </w:pPr>
      <w:r>
        <w:rPr>
          <w:sz w:val="20"/>
        </w:rPr>
        <w:t xml:space="preserve">ПО ОБЕСПЕЧЕНИЮ САНИТАРНО-ЭПИДЕМИОЛОГИЧЕСКИХ ТРЕБОВАНИЙ</w:t>
      </w:r>
    </w:p>
    <w:p>
      <w:pPr>
        <w:pStyle w:val="2"/>
        <w:jc w:val="center"/>
      </w:pPr>
      <w:r>
        <w:rPr>
          <w:sz w:val="20"/>
        </w:rPr>
        <w:t xml:space="preserve">ПРИ РЕАЛИЗАЦИИ ОБРАЗОВАТЕЛЬНЫХ ПРОГРАММ С ПРИМЕНЕНИЕМ</w:t>
      </w:r>
    </w:p>
    <w:p>
      <w:pPr>
        <w:pStyle w:val="2"/>
        <w:jc w:val="center"/>
      </w:pPr>
      <w:r>
        <w:rPr>
          <w:sz w:val="20"/>
        </w:rPr>
        <w:t xml:space="preserve">ЭЛЕКТРОННОГО ОБУЧЕНИЯ И ДИСТАНЦИОННЫХ</w:t>
      </w:r>
    </w:p>
    <w:p>
      <w:pPr>
        <w:pStyle w:val="2"/>
        <w:jc w:val="center"/>
      </w:pPr>
      <w:r>
        <w:rPr>
          <w:sz w:val="20"/>
        </w:rPr>
        <w:t xml:space="preserve">ОБРАЗОВАТЕЛЬНЫХ ТЕХНОЛОГИЙ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МЕТОДИЧЕСКИЕ РЕКОМЕНДАЦИИ</w:t>
      </w:r>
    </w:p>
    <w:p>
      <w:pPr>
        <w:pStyle w:val="2"/>
        <w:jc w:val="center"/>
      </w:pPr>
      <w:r>
        <w:rPr>
          <w:sz w:val="20"/>
        </w:rPr>
        <w:t xml:space="preserve">МР 2.4.0330-23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Разработаны Федеральной службой по надзору в сфере защиты прав потребителей и благополучия человека; ФБУН "Федеральный научный центр гигиены им. Ф.Ф. Эрисмана" Роспотребнадзора (Кузьмин С.В., Кучма В.Р., Синицына О.О., Седова А.С., Степанова М.И., Поленова М.А., Соколова С.Б.); ФГАУ "Национальный медицинский исследовательский центр здоровья детей" Минздрава России (Храмцов П.И., Александрова И.Э., Барсукова Н.К.); ФБУЗ "Центр гигиены и эпидемиологии в городе Москве" (Молдованов В.В., Айзятова М.В.); Российским национальным комитетом по защите от неионизирующих излучений (Григорьев О.А., Носов В.Н., Мухачев Е.В., Пекин А.В.); ГБОУ ВО "Северо-Западный государственный медицинский университет имени И.И. Мечникова" Минздрава России (Янушанец О.И., Петрова Н.А.); ФГАОУ ВО "Первый Московский государственный медицинский университет имени И.М. Сеченова" Минздрава России (Сеченовский Университет) (Лапонова Е.Д.); ФГАОУ ВО "Российский национальный исследовательский университет имени Н.И. Пирогова" Минздрава России (Милушкина О.Ю.).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29 августа 2023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Введены впервые.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 и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Настоящие методические рекомендации (далее - МР) содержат комплекс предложений по созданию условий для внедрения цифровой образовательной среды &lt;1&gt; (далее - ЦОС) для детей &lt;2&gt; и молодежи &lt;3&gt;, осваивающих образовательные программы &lt;4&gt; дошкольного (для детей 5 лет и старше), начального общего, основного общего, среднего общего, среднего профессионального и дополнительного образования (далее - образовательные программы) с применением электронного обучения и дистанционных образовательных технологий с учетом санитарно-эпидемиологических требований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Например, Федеральный </w:t>
      </w:r>
      <w:hyperlink w:history="0" r:id="rId7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sz w:val="20"/>
            <w:color w:val="0000ff"/>
          </w:rPr>
          <w:t xml:space="preserve">проект</w:t>
        </w:r>
      </w:hyperlink>
      <w:r>
        <w:rPr>
          <w:sz w:val="20"/>
        </w:rPr>
        <w:t xml:space="preserve"> "Цифровая образовательная среда" национального проекта "Образование".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8" w:tooltip="Федеральный закон от 24.07.1998 N 124-ФЗ (ред. от 28.04.2023) &quot;Об основных гарантиях прав ребенка в Российской Федерации&quot; {КонсультантПлюс}">
        <w:r>
          <w:rPr>
            <w:sz w:val="20"/>
            <w:color w:val="0000ff"/>
          </w:rPr>
          <w:t xml:space="preserve">Статья 1</w:t>
        </w:r>
      </w:hyperlink>
      <w:r>
        <w:rPr>
          <w:sz w:val="20"/>
        </w:rPr>
        <w:t xml:space="preserve"> Федерального закона от 24.07.1998 N 124-ФЗ "Об основных гарантиях прав ребенка в Российской Федерации" (далее - Федеральный закон от 24.07.1998 N 124-ФЗ).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9" w:tooltip="Федеральный закон от 30.12.2020 N 489-ФЗ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Статья 2</w:t>
        </w:r>
      </w:hyperlink>
      <w:r>
        <w:rPr>
          <w:sz w:val="20"/>
        </w:rPr>
        <w:t xml:space="preserve"> Федерального закона от 30.12.2020 N 489-ФЗ "О молодежной политике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0" w:tooltip="Федеральный закон от 29.12.2012 N 273-ФЗ (ред. от 19.12.2023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Статья 2</w:t>
        </w:r>
      </w:hyperlink>
      <w:r>
        <w:rPr>
          <w:sz w:val="20"/>
        </w:rPr>
        <w:t xml:space="preserve"> Федерального закона от 29.12.2012 N 273-ФЗ "Об образовании в Российской Федерации" (далее - Федеральный закон от 29.12.2012 N 273-ФЗ).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1" w:tooltip="Федеральный закон от 30.03.1999 N 52-ФЗ (ред. от 24.07.2023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Статья 42</w:t>
        </w:r>
      </w:hyperlink>
      <w:r>
        <w:rPr>
          <w:sz w:val="20"/>
        </w:rPr>
        <w:t xml:space="preserve"> Федерального закона от 30.03.1999 N 52-ФЗ "О санитарно-эпидемиологическом благополучии населения" (далее - Федеральный закон от 30.03.1999 N 52-ФЗ); </w:t>
      </w:r>
      <w:hyperlink w:history="0" r:id="rId12" w:tooltip="Федеральный закон от 29.12.2012 N 273-ФЗ (ред. от 19.12.2023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статья 12</w:t>
        </w:r>
      </w:hyperlink>
      <w:r>
        <w:rPr>
          <w:sz w:val="20"/>
        </w:rPr>
        <w:t xml:space="preserve"> Федерального закона от 29.12.2012 N 273-ФЗ; </w:t>
      </w:r>
      <w:hyperlink w:history="0" r:id="rId13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СП 2.4.3648-20</w:t>
        </w:r>
      </w:hyperlink>
      <w:r>
        <w:rPr>
          <w:sz w:val="20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28.09.2020 N 28 (зарегистрировано Минюстом России 18.12.2020, регистрационный N 61573) (далее - СП 2.4.3648-20); </w:t>
      </w:r>
      <w:hyperlink w:history="0" r:id="rId14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28.01.2021 N 2, с изменениями, внесенными постановлением Главного государственного санитарного врача Российской Федерации от 30.12.2022 N 24 (зарегистрировано Минюстом России 29.01.2021, регистрационный N 62296) (далее - СанПиН 1.2.3685-21).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Реализация образовательных программ с применением электронного обучения и дистанционных образовательных технологий установлена законодательством Российской Федерации &lt;6&gt;. При необходимости допускается совмещение различных форм обучения &lt;7&gt;, например, очного и обучения с использованием дистанционных образовательных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15" w:tooltip="Федеральный закон от 29.12.2012 N 273-ФЗ (ред. от 19.12.2023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 2 статьи 13</w:t>
        </w:r>
      </w:hyperlink>
      <w:r>
        <w:rPr>
          <w:sz w:val="20"/>
        </w:rPr>
        <w:t xml:space="preserve">, </w:t>
      </w:r>
      <w:hyperlink w:history="0" r:id="rId16" w:tooltip="Федеральный закон от 29.12.2012 N 273-ФЗ (ред. от 19.12.2023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 2 статьи 16</w:t>
        </w:r>
      </w:hyperlink>
      <w:r>
        <w:rPr>
          <w:sz w:val="20"/>
        </w:rPr>
        <w:t xml:space="preserve"> Федерального закона от 29.12.2012 N 273-ФЗ.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</w:t>
      </w:r>
      <w:hyperlink w:history="0" r:id="rId17" w:tooltip="Федеральный закон от 29.12.2012 N 273-ФЗ (ред. от 19.12.2023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Статья 17</w:t>
        </w:r>
      </w:hyperlink>
      <w:r>
        <w:rPr>
          <w:sz w:val="20"/>
        </w:rPr>
        <w:t xml:space="preserve"> Федерального закона от 29.12.2012 N 273-ФЗ.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2"/>
        <w:outlineLvl w:val="1"/>
        <w:jc w:val="center"/>
      </w:pPr>
      <w:r>
        <w:rPr>
          <w:sz w:val="20"/>
        </w:rPr>
        <w:t xml:space="preserve">II. Рекомендации по реализации образовательных</w:t>
      </w:r>
    </w:p>
    <w:p>
      <w:pPr>
        <w:pStyle w:val="2"/>
        <w:jc w:val="center"/>
      </w:pPr>
      <w:r>
        <w:rPr>
          <w:sz w:val="20"/>
        </w:rPr>
        <w:t xml:space="preserve">программ с применением электронного обучения и дистанционных</w:t>
      </w:r>
    </w:p>
    <w:p>
      <w:pPr>
        <w:pStyle w:val="2"/>
        <w:jc w:val="center"/>
      </w:pPr>
      <w:r>
        <w:rPr>
          <w:sz w:val="20"/>
        </w:rPr>
        <w:t xml:space="preserve">образовательных технологий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Электронные средства обучения (далее - ЭСО) могут быть ЭСО коллективного использования (например, интерактивная доска, интерактивная панель) и ЭСО индивидуального использования (например, персональный компьютер (далее - ПК), ноутбук, планшет).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ЭСО используются в соответствии с инструкцией по эксплуатации и (или) техническим паспортом с соблюдением санитарно-эпидемиологических требований &lt;8&gt; и при наличии документов, подтверждающих их соответствие требованиям безопасности, установленным законодательством Российской Федерации &lt;9&gt;.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</w:t>
      </w:r>
      <w:hyperlink w:history="0" r:id="rId18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Пункт 3.5 главы III</w:t>
        </w:r>
      </w:hyperlink>
      <w:r>
        <w:rPr>
          <w:sz w:val="20"/>
        </w:rPr>
        <w:t xml:space="preserve"> СП 2.4.3648-20.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Технический </w:t>
      </w:r>
      <w:hyperlink w:history="0" r:id="rId19" w:tooltip="Решение Комиссии Таможенного союза от 16.08.2011 N 768 (ред. от 11.05.2023) &quot;О принятии технического регламента Таможенного союза &quot;О безопасности низковольтного оборудования&quot; (вместе с &quot;ТР ТС 004/2011. Технический регламент Таможенного Союза. О безопасности низковольтного оборудования&quot;) {КонсультантПлюс}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Таможенного союза "О безопасности низковольтового оборудования" (ТР ТС 004/2011), утвержденный решением Комиссии Таможенного союза от 16.08.2011 N 768, с изменениями, внесенными решениями Комиссии Таможенного союза от 09.12.2011 N 884, решениями Коллегии Евразийской экономической комиссии от 04.12.2012 N 247, от 25.12.2012 N 292, от 25.10.2016 N 120, решением Совета Евразийской экономической комиссии от 10.06.2022 N 90; технический </w:t>
      </w:r>
      <w:hyperlink w:history="0" r:id="rId20" w:tooltip="Решение Комиссии Таможенного союза от 09.12.2011 N 879 (ред. от 10.06.2022) &quot;О принятии технического регламента Таможенного союза &quot;Электромагнитная совместимость технических средств&quot; (вместе с &quot;ТР ТС 020/2011. Технический регламент Таможенного союза. Электромагнитная совместимость технических средств&quot;) {КонсультантПлюс}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Таможенного союза "Электромагнитная совместимость технических средств" (ТР ТС 020/2011), утвержденный решением Комиссии Таможенного союза от 09.12.2011 N 879, с изменениями, внесенными решениями Комиссии Таможенного союза от 04.12.2012 N 252, от 03.02.2015 N 8, от 29.06.2021 N 77, решением Совета Евразийской экономической комиссии от 10.06.2022 N 91; Единые санитарно-эпидемиологические и гигиенические </w:t>
      </w:r>
      <w:hyperlink w:history="0" r:id="rId21" w:tooltip="Решение Комиссии Таможенного союза от 28.05.2010 N 299 (ред. от 14.11.2023) &quot;О применении санитарных мер в Евразийском экономическом союзе&quot; {КонсультантПлюс}">
        <w:r>
          <w:rPr>
            <w:sz w:val="20"/>
            <w:color w:val="0000ff"/>
          </w:rPr>
          <w:t xml:space="preserve">требования</w:t>
        </w:r>
      </w:hyperlink>
      <w:r>
        <w:rPr>
          <w:sz w:val="20"/>
        </w:rPr>
        <w:t xml:space="preserve"> к продукции (товарам), подлежащей санитарно-эпидемиологическому надзору (контролю), утвержденные решением Комиссии Таможенного союза от 28.05.2010 N 299, с изменениями, внесенными решениями Комиссии Таможенного союза от 17.08.2010 N 341, от 20.09.2010 N 383, от 14.10.2010 N 432, от 18.11.2010 N 456, от 02.03.2011 N 566, от 02.03.2011 N 567, от 02.03.2011 N 568, от 02.03.2011 N 571, от 07.04.2011 N 622, от 18.10.2011 N 828, от 18.10.2011 N 829, от 09.12.2011 N 859, от 09.12.2011 N 888, от 09.12.2011 N 889, решением Коллегии Евразийской экономической комиссии от 19.04.2012 N 34, решениями Совета Евразийской экономической комиссии от 15.06.2012 N 36, от 15.06.2012 N 37, от 20.07.2012 N 64, от 24.08.2012 N 73, от 17.12.2012 N 114, от 17.12.2012 N 115, от 18.09.2014 N 78, от 02.12.2015 N 82, от 16.02.2018 N 5, от 14.06.2018 N 64, от 22.02.2019 N 8, от 09.09.2019 N 97, от 04.09.2020 N 65, от 29.10.2021 N 109, от 18.02.2022 N 15, от 17.03.2022 N 28, от 25.01.2023 N 6, решениями Коллегии Евразийской экономической комиссии от 16.08.2012 N 125, от 23.08.2012 N 141, от 06.11.2012 N 206, от 06.11.2012 N 208, от 15.01.2013 N 6, от 13.05.2014 N 71, от 07.07.2014 N 101, от 18.11.2014 N 209, от 10.11.2015 N 149, от 08.12.2015 N 162, от 25.10.2016 N 118, 30.06.2017 N 80, от 29.08.2017 N 107, от 23.01.2018 N 12, от 10.05.2018 N 76, от 21.05.2019 N 78, от 08.09.2020 N 106, от 08.09.2020 N 107, от 08.12.2020 N 162, от 03.08.2021 N 99, от 29.11.2021 N 161, от 08.02.2022 N 22, от 22.02.2022 N 28.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Сведения о наличии и соответствии требованиям безопасности ЭСО в организации, реализующей образовательные программы с применением электронного обучения и дистанционных образовательных технологий (далее - образовательная организация), рекомендуется заносить в журнал на бумажном и (или) электронном носителях. Рекомендуемый образец журнала представлен в </w:t>
      </w:r>
      <w:hyperlink w:history="0" w:anchor="P210" w:tooltip="Пример журнала">
        <w:r>
          <w:rPr>
            <w:sz w:val="20"/>
            <w:color w:val="0000ff"/>
          </w:rPr>
          <w:t xml:space="preserve">приложении 1</w:t>
        </w:r>
      </w:hyperlink>
      <w:r>
        <w:rPr>
          <w:sz w:val="20"/>
        </w:rPr>
        <w:t xml:space="preserve"> к настоящим МР.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Для создания локальной вычислительной сети, подключения к телекоммуникационной сети "Интернет" (далее - Интернет), подключения периферийных устройств ПК рекомендуется использовать системы проводной передачи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системы беспроводной передачи данных точки доступа Wi-Fi рекомендуется размещать в подпотолочном пространстве учебных кабинетов на фронтальной стене и помещений, где необходимо обеспечить устойчивое покрытие беспроводной сетью.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Установка и использование системы беспроводной передачи данных не рекомендуются в учебных помещениях, на этажах, в отдельно стоящих зданиях для обучающихся начального общего образования, в помещениях для детей в зданиях дошкольных образовательных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При выборе ЭСО коллективного использования рекомендуется использовать интерактивные доски (далее - ИД) и интерактивные панели (далее - ИП), имеющие токопроводящие поверхности, передающие информацию в ПК при непосредственном нажатии на поверхность доски и не требующие применения маркеров (резистивная технология).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При оборудовании ИД учебных и групповых помещений (далее - учебных помещений) рекомендуется использовать ИД обратной проекции (проектор размещен позади ИД), исключающей возможность слепящего эффекта от лампы проектора и появление тени пользователя на проецируемом изображении.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При выборе ИД прямой проекции (проектор размещен перед ИД) рекомендуется использовать коротко- или ультракороткофокусный проектор, снижающий риск слепящего эффекта для пользователя.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предотвращения появления бликов на экране ИД (ИП) рекомендуется использовать доски с матовой поверхностью.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В учебных помещениях рекомендуется использовать ИП с максимальным углом обзора (более 170°) по вертикали и горизонтали, обеспечивающим сохранение контрастности изображения и не искажающим цветопередачу.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Рассаживать детей в учебном помещении относительно ЭСО коллективного использования рекомендуется с учетом зонирования помещения по условиям зрительного восприятия визуальной информации и состояния органа зрения обучающегося </w:t>
      </w:r>
      <w:hyperlink w:history="0" w:anchor="P540" w:tooltip="12. Новикова Е.В., Лавренюк С.Ю. Метод расчета зоны оптимальной видимости при работе с экранами коллективного пользования. Новые технологии. 2011; 3: 104 - 109.">
        <w:r>
          <w:rPr>
            <w:sz w:val="20"/>
            <w:color w:val="0000ff"/>
          </w:rPr>
          <w:t xml:space="preserve">[12]</w:t>
        </w:r>
      </w:hyperlink>
      <w:r>
        <w:rPr>
          <w:sz w:val="20"/>
        </w:rPr>
        <w:t xml:space="preserve"> (рис. 1). При использовании ИД (ИП) не рекомендуется размещать обучающихся в зоне, в которой может возникнуть трудность восприятия информации (зона III). Детей с нарушением зрения рекомендуется размещать в оптимальной зоне (зона I).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153"/>
        </w:rPr>
        <w:drawing>
          <wp:inline distT="0" distB="0" distL="0" distR="0">
            <wp:extent cx="3268345" cy="207073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45" cy="207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Рис. 1. Зонирование учебных помещений по комфорту</w:t>
      </w:r>
    </w:p>
    <w:p>
      <w:pPr>
        <w:pStyle w:val="0"/>
        <w:jc w:val="center"/>
      </w:pPr>
      <w:r>
        <w:rPr>
          <w:sz w:val="20"/>
        </w:rPr>
        <w:t xml:space="preserve">зрительного восприятия от ЭСО коллективного использования.</w:t>
      </w:r>
    </w:p>
    <w:p>
      <w:pPr>
        <w:pStyle w:val="0"/>
        <w:jc w:val="center"/>
      </w:pPr>
      <w:r>
        <w:rPr>
          <w:sz w:val="20"/>
        </w:rPr>
        <w:t xml:space="preserve">Примечание: зона I - оптимальное восприятие изображения;</w:t>
      </w:r>
    </w:p>
    <w:p>
      <w:pPr>
        <w:pStyle w:val="0"/>
        <w:jc w:val="center"/>
      </w:pPr>
      <w:r>
        <w:rPr>
          <w:sz w:val="20"/>
        </w:rPr>
        <w:t xml:space="preserve">зона II - возможно искажение изображения; зона III -</w:t>
      </w:r>
    </w:p>
    <w:p>
      <w:pPr>
        <w:pStyle w:val="0"/>
        <w:jc w:val="center"/>
      </w:pPr>
      <w:r>
        <w:rPr>
          <w:sz w:val="20"/>
        </w:rPr>
        <w:t xml:space="preserve">трудности восприятия; зона IV - невозможно использовать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Зонирование помещения зависит от параметров доски, в том числе ее ширины. Расстояние от ИД (ИП) до последнего ряда столов рассчитывается в соответствии с санитарно-эпидемиологическими требованиями &lt;10&gt;. В каждом учебном помещении, оснащенном ЭСО коллективного использования, рекомендуется рассчитывать количество рабочих мест, на которых возможно искажение изображения (зона II) и трудности восприятия (зона III) с целью их возможного сокращения.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</w:t>
      </w:r>
      <w:hyperlink w:history="0" r:id="rId23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Таблица 6.2 главы VI</w:t>
        </w:r>
      </w:hyperlink>
      <w:r>
        <w:rPr>
          <w:sz w:val="20"/>
        </w:rPr>
        <w:t xml:space="preserve"> СанПиН 1.2.3685-21.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обеспечения размещения ИД (ИП) по центру фронтальной стены учебного помещения рекомендуется использовать доски с рельсовой раздвижной системой в центральной части, объединяющей в комплексе разные виды учебных досок, либо рельсовую систему, обеспечивающую смену досок разного вида.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организациях, недостаточно оснащенных ЭСО коллективного использования, для повышения доступности работы с ИД (ИП) на занятиях по разным учебным предметам может использоваться мобильная стойка для ИД (ИП). ИД (ИП) на мобильной стойке размещают по центру фронтальной стены учебного помещения на высоте 70 - 90 см от пола до нижнего края доски, соблюдая нормируемое расстояние до первого ряда столов (240 см) &lt;11&gt;.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</w:t>
      </w:r>
      <w:hyperlink w:history="0" r:id="rId24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Таблица 6.2 главы VI</w:t>
        </w:r>
      </w:hyperlink>
      <w:r>
        <w:rPr>
          <w:sz w:val="20"/>
        </w:rPr>
        <w:t xml:space="preserve"> СанПиН 1.2.3685-21.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2.8. С целью обеспечения удобочитаемости рекомендуется использовать монитор ЭСО индивидуального использования с диагональю 21 - 24 дюйма, но не менее размеров, установленных санитарно-эпидемиологическими требованиями &lt;12&gt;.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</w:t>
      </w:r>
      <w:hyperlink w:history="0" r:id="rId25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Таблица 6.3 главы VI</w:t>
        </w:r>
      </w:hyperlink>
      <w:r>
        <w:rPr>
          <w:sz w:val="20"/>
        </w:rPr>
        <w:t xml:space="preserve"> СанПиН 1.2.3685-21.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Мобильные средства связи не используются для образовательных целей &lt;13&gt;. Применение мобильных средств в образовательной организации допускается для личного использования в соответствии с правилами внутреннего распорядка &lt;14&gt; данной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</w:t>
      </w:r>
      <w:hyperlink w:history="0" r:id="rId26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Пункт 3.5.3 главы III</w:t>
        </w:r>
      </w:hyperlink>
      <w:r>
        <w:rPr>
          <w:sz w:val="20"/>
        </w:rPr>
        <w:t xml:space="preserve"> СП 2.4.3648-20.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 </w:t>
      </w:r>
      <w:hyperlink w:history="0" r:id="rId27" w:tooltip="Федеральный закон от 29.12.2012 N 273-ФЗ (ред. от 19.12.2023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Статья 43</w:t>
        </w:r>
      </w:hyperlink>
      <w:r>
        <w:rPr>
          <w:sz w:val="20"/>
        </w:rPr>
        <w:t xml:space="preserve"> Федерального закона от 29.12.2012 N 273-ФЗ.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2.9. При реализации электронного обучения и дистанционных образовательных технологий, в том числе при выполнении домашних заданий, проектной деятельности, обучающимся рекомендуется использовать ПК. При использовании ноутбука рекомендуется устанавливать его на подставку, которая обеспечит размещение монитора на уровне глаз, или подключать к ноутбуку дополнительный монитор и использовать дополнительную клавиатуру &lt;15&gt;.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&lt;15&gt; </w:t>
      </w:r>
      <w:hyperlink w:history="0" r:id="rId28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Пункт 3.5.4 главы III</w:t>
        </w:r>
      </w:hyperlink>
      <w:r>
        <w:rPr>
          <w:sz w:val="20"/>
        </w:rPr>
        <w:t xml:space="preserve"> СП 2.4.3648-20; </w:t>
      </w:r>
      <w:hyperlink w:history="0" r:id="rId29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пункт 189 главы VI</w:t>
        </w:r>
      </w:hyperlink>
      <w:r>
        <w:rPr>
          <w:sz w:val="20"/>
        </w:rPr>
        <w:t xml:space="preserve"> СанПиН 1.2.3685-21.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2.10. Для работы с ЭСО индивидуального использования рекомендуется использовать мониторы, регулируемые по высоте и углу наклона, имеющие матовое покрытие, автоматическую настройку яркости в зависимости от внешнего освещения, с типом матрицы, обеспечивающим максимальный угол видимости.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работы детей с ЭСО индивидуального использования, в том числе для дистанционного обучения, выполнения домашних заданий, не рекомендуется использовать мониторы на основе электронно-лучевых трубок. В образовательной организации данные типы мониторов не используются &lt;16&gt;.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&lt;16&gt; </w:t>
      </w:r>
      <w:hyperlink w:history="0" r:id="rId30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Пункт 3.5.1 главы III</w:t>
        </w:r>
      </w:hyperlink>
      <w:r>
        <w:rPr>
          <w:sz w:val="20"/>
        </w:rPr>
        <w:t xml:space="preserve"> СП 2.4.3648-20.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рациональной организации рабочего места рекомендуется использовать беспроводные клавиатуру и мышь.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Оконные проемы в помещениях, где используются ЭСО, оборудуются светорегулируемыми устройствами в соответствии с санитарно-эпидемиологическими требованиями &lt;17&gt;. При использовании ИД (ИП) ближайший от них оконный проем рекомендуется закрывать.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&lt;17&gt; </w:t>
      </w:r>
      <w:hyperlink w:history="0" r:id="rId31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Пункт 3.5.5 главы III</w:t>
        </w:r>
      </w:hyperlink>
      <w:r>
        <w:rPr>
          <w:sz w:val="20"/>
        </w:rPr>
        <w:t xml:space="preserve"> СП 2.4.3648-20.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2.12. В случае использования ноутбуков и (или) планшетов, в том числе тележки-хранилища для ноутбуков/планшетных компьютеров с системой подзарядки &lt;18&gt;, рекомендуется заряжать ЭСО при отсутствии в помещении детей во внеучебное время.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&lt;18&gt; </w:t>
      </w:r>
      <w:hyperlink w:history="0" r:id="rId32" w:tooltip="Приказ Минпросвещения России N 634, Минцифры России N 925 от 08.09.2021 &quot;Об утверждении стандарта оснащения государственных и муниципальных общеобразовательных организаций, осуществляющих образовательную деятельность в субъектах Российской Федерации, на территории которых проводится эксперимент по внедрению цифровой образовательной среды, компьютерным, мультимедийным, презентационным оборудованием и программным обеспечением&quot; (Зарегистрировано в Минюсте России 16.12.2021 N 6636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России/Минцифры России N 634/925 от 08.09.2021 "Об утверждении стандарта оснащения государственных и муниципальных общеобразовательных организаций, осуществляющих образовательную деятельность в субъектах Российской Федерации, на территории которых проводится эксперимент по внедрению цифровой образовательной среды, компьютерным, мультимедийным, презентационным оборудованием и программным обеспечением" (зарегистрирован Минюстом России 16.12.2021, регистрационный N 66360).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2.13. При размещении рабочих мест, оборудованных ПК, рекомендуется учитывать расположение световых проемов и удаленность от элементов систем электроснабжения. Возможные варианты размещения рабочих мест в учебных помещениях представлены в </w:t>
      </w:r>
      <w:hyperlink w:history="0" w:anchor="P357" w:tooltip="ПРИМЕРЫ">
        <w:r>
          <w:rPr>
            <w:sz w:val="20"/>
            <w:color w:val="0000ff"/>
          </w:rPr>
          <w:t xml:space="preserve">приложении 2</w:t>
        </w:r>
      </w:hyperlink>
      <w:r>
        <w:rPr>
          <w:sz w:val="20"/>
        </w:rPr>
        <w:t xml:space="preserve"> к настоящим МР.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Для оборудования рабочего места обучающегося при работе с ЭСО индивидуального использования рекомендуется использовать стол с глубиной столешницы не менее 75 см, что позволит размещать на ней ЭСО, учебные принадлежности, перемещать их (например, при работе с учебником или тетрадью переместить их в основную рабочую зону, а клавиатуру переместить в дополнительную рабочую зону и наоборот).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Функциональные размеры мебели в образовательной организации определены санитарно-эпидемиологическими требованиями &lt;19&gt;. Правильно подобранный с учетом роста обучающегося стул (кресло) обеспечивает следующие условия: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&lt;19&gt; </w:t>
      </w:r>
      <w:hyperlink w:history="0" r:id="rId33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Таблица 6.2 главы VI</w:t>
        </w:r>
      </w:hyperlink>
      <w:r>
        <w:rPr>
          <w:sz w:val="20"/>
        </w:rPr>
        <w:t xml:space="preserve"> СанПиН 1.2.3685-21.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 ноги свободно размещаются под столом;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стопы имеют опору на полу или на подставке для ног;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коленные суставы согнуты под углом не менее 90°.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Рекомендуется использовать стул (кресло), спинка которого имеет поясничный упор.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клавиатуры и мыши локти обучающегося размещаются на столе полностью, кисти рук на клавиатуре или мыши находятся в положении, близком к горизонтальному или немного ниже горизонтали. Использование "ножек" на клавиатуре для увеличения угла наклона не рекомендуется. При подкладывании валиков под запястье обучающегося - их размещают ближе к клавиатуре. При использовании подлокотников рекомендуется регулировать их высоту так, чтобы они размещались на одном уровне со столешницей и не мешали движениям рук.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Оптимальная зрительная дистанция до экрана ПК или ноутбука составляет 60 - 70 см, но не менее 50 см. Верхний край монитора рекомендуется размещать на уровне глаз, чтобы исключить запрокидывание или чрезмерный наклон головы. Монитор рекомендуется наклонять на 10 - 20° назад (в зависимости от высоты монитора), чтобы обеспечить одинаковое расстояния от глаз до верхнего и нижнего края монитора.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Рекомендуется увеличивать размер изображения (шрифта) при необходимости обучающегося, использующего ЭСО, наклоняться к монитору, чтобы рассмотреть информацию, представленную на экране.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Суммарная продолжительность использования ИД (ИП) и непрерывная продолжительность использования ПК, ноутбука и планшета на занятиях рассчитывается в соответствии с санитарно-эпидемиологическими требованиями &lt;20&gt;.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&lt;20&gt; </w:t>
      </w:r>
      <w:hyperlink w:history="0" r:id="rId34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Таблица 6.8 главы VI</w:t>
        </w:r>
      </w:hyperlink>
      <w:r>
        <w:rPr>
          <w:sz w:val="20"/>
        </w:rPr>
        <w:t xml:space="preserve"> СанПиН 1.2.3685-21.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Суммарная суточная продолжительность использования ЭСО включает суммарную продолжительность использования ЭСО в образовательной организации, при реализации программ дополнительного образования, при выполнении домашних заданий и досуговой деятельности. Пример определения суммарной продолжительности использования ЭСО и (или) средств, оснащенных экраном, представлен в </w:t>
      </w:r>
      <w:hyperlink w:history="0" w:anchor="P406" w:tooltip="ПРИМЕР">
        <w:r>
          <w:rPr>
            <w:sz w:val="20"/>
            <w:color w:val="0000ff"/>
          </w:rPr>
          <w:t xml:space="preserve">приложении 3</w:t>
        </w:r>
      </w:hyperlink>
      <w:r>
        <w:rPr>
          <w:sz w:val="20"/>
        </w:rPr>
        <w:t xml:space="preserve"> к настоящим МР.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двух и более ЭСО суммарное время работы рассчитывается в соответствии с санитарно-эпидемиологическими требованиями &lt;21&gt;. Использование на занятии в образовательной организации более двух различных ЭСО определяется в соответствии с санитарно-эпидемиологическими требованиями &lt;22&gt;.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&lt;21&gt; </w:t>
      </w:r>
      <w:hyperlink w:history="0" r:id="rId35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Пункт 188 главы VI</w:t>
        </w:r>
      </w:hyperlink>
      <w:r>
        <w:rPr>
          <w:sz w:val="20"/>
        </w:rPr>
        <w:t xml:space="preserve"> СанПиН 1.2.3685-21.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&lt;22&gt; </w:t>
      </w:r>
      <w:hyperlink w:history="0" r:id="rId36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Пункт 3.5.2 главы III</w:t>
        </w:r>
      </w:hyperlink>
      <w:r>
        <w:rPr>
          <w:sz w:val="20"/>
        </w:rPr>
        <w:t xml:space="preserve"> СП 2.4.3648-20.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ЭСО рекомендуется выключать или переводить монитор в режим ожидания ("спящий режим"), когда их использование приостановлено или завершено, чтобы светящийся экран не находился в поле зрения обучающихся. Предпочтительным является выключение экрана.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 Для чтения обучающимся всех возрастных групп рекомендуется использовать печатные учебные, книжные и журнальные издания.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Шрифтовое оформление электронных учебных изданий должно соответствовать санитарно-эпидемиологическим требованиям &lt;23&gt;.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&lt;23&gt; </w:t>
      </w:r>
      <w:hyperlink w:history="0" r:id="rId37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Пункт 182 главы VI</w:t>
        </w:r>
      </w:hyperlink>
      <w:r>
        <w:rPr>
          <w:sz w:val="20"/>
        </w:rPr>
        <w:t xml:space="preserve">, </w:t>
      </w:r>
      <w:hyperlink w:history="0" r:id="rId38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пункт 248</w:t>
        </w:r>
      </w:hyperlink>
      <w:r>
        <w:rPr>
          <w:sz w:val="20"/>
        </w:rPr>
        <w:t xml:space="preserve">, </w:t>
      </w:r>
      <w:hyperlink w:history="0" r:id="rId39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таблица 7.12 главы VII</w:t>
        </w:r>
      </w:hyperlink>
      <w:r>
        <w:rPr>
          <w:sz w:val="20"/>
        </w:rPr>
        <w:t xml:space="preserve"> СанПиН 1.2.3685-21.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2.18. При реализации электронного обучения и дистанционных образовательных технологий в режим учебного дня обучающихся, в том числе во время учебных занятий, рекомендуется включать различные формы двигательной активности. Рекомендуемые формы двигательной активности представлены в </w:t>
      </w:r>
      <w:hyperlink w:history="0" w:anchor="P427" w:tooltip="РЕКОМЕНДУЕМЫЕ ФОРМЫ ДВИГАТЕЛЬНОЙ АКТИВНОСТИ В РЕЖИМЕ ДНЯ">
        <w:r>
          <w:rPr>
            <w:sz w:val="20"/>
            <w:color w:val="0000ff"/>
          </w:rPr>
          <w:t xml:space="preserve">приложении 4</w:t>
        </w:r>
      </w:hyperlink>
      <w:r>
        <w:rPr>
          <w:sz w:val="20"/>
        </w:rPr>
        <w:t xml:space="preserve"> к настоящим МР.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середине занятия организуется перерыв &lt;24&gt; для проведения комплекса упражнений с целью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 Комплексы упражнений проводятся в соответствии с рекомендациями, представленными в </w:t>
      </w:r>
      <w:hyperlink w:history="0" w:anchor="P448" w:tooltip="УПРАЖНЕНИЯ,">
        <w:r>
          <w:rPr>
            <w:sz w:val="20"/>
            <w:color w:val="0000ff"/>
          </w:rPr>
          <w:t xml:space="preserve">приложении 5</w:t>
        </w:r>
      </w:hyperlink>
      <w:r>
        <w:rPr>
          <w:sz w:val="20"/>
        </w:rPr>
        <w:t xml:space="preserve"> к настоящим МР с учетом преобладающих учебных нагрузок и состояния здоровья обучающихся. Для детей дошкольного возраста комплексы упражнений проводятся в игровой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&lt;24&gt; </w:t>
      </w:r>
      <w:hyperlink w:history="0" r:id="rId40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Пункт 3.5.13 главы III</w:t>
        </w:r>
      </w:hyperlink>
      <w:r>
        <w:rPr>
          <w:sz w:val="20"/>
        </w:rPr>
        <w:t xml:space="preserve"> СП 2.4.3648-20.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Рекомендуемая продолжительность суточной физической активности от умеренной до высокой интенсивности составляет не менее 60 минут в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2.19. При реализации дистанционных образовательных технологий в программу производственного контроля образовательной организации рекомендуется включать анализ ЭСО, используемых обучающимися в домашних условиях.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каждую учебную группу (класс) рекомендуется иметь сведения об используемых обучающимися ЭСО, соответствующих гигиеническим требованиям &lt;25&gt;. Сведения о наличии у обучающихся необходимых ЭСО рекомендуется заносить в журнал на бумажном и (или) электронном носителях. Рекомендуемый образец журнала представлен в </w:t>
      </w:r>
      <w:hyperlink w:history="0" w:anchor="P357" w:tooltip="ПРИМЕРЫ">
        <w:r>
          <w:rPr>
            <w:sz w:val="20"/>
            <w:color w:val="0000ff"/>
          </w:rPr>
          <w:t xml:space="preserve">приложении 2</w:t>
        </w:r>
      </w:hyperlink>
      <w:r>
        <w:rPr>
          <w:sz w:val="20"/>
        </w:rPr>
        <w:t xml:space="preserve"> к настоящим МР.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&lt;25&gt; </w:t>
      </w:r>
      <w:hyperlink w:history="0" r:id="rId41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Таблица 6.3</w:t>
        </w:r>
      </w:hyperlink>
      <w:r>
        <w:rPr>
          <w:sz w:val="20"/>
        </w:rPr>
        <w:t xml:space="preserve">, </w:t>
      </w:r>
      <w:hyperlink w:history="0" r:id="rId42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пункт 189 главы VI</w:t>
        </w:r>
      </w:hyperlink>
      <w:r>
        <w:rPr>
          <w:sz w:val="20"/>
        </w:rPr>
        <w:t xml:space="preserve"> СанПиН 1.2.3685-21; </w:t>
      </w:r>
      <w:hyperlink w:history="0" r:id="rId43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пункт 3.5.4 главы III</w:t>
        </w:r>
      </w:hyperlink>
      <w:r>
        <w:rPr>
          <w:sz w:val="20"/>
        </w:rPr>
        <w:t xml:space="preserve"> СП 2.4.3648-20.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случае отсутствия у обучающихся указанных ЭСО рекомендуется: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исключить дистанционный формат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организовать образовательный процесс с возможностью выполнять задания с использованием ЭСО 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обеспечить обучающихся ЭСО, соответствующими гигиеническим требованиям.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2.20. При необходимости перехода на смешанное или дистанционное обучение обучающихся 1 - 5-х классов рекомендуется переводить на дистанционный режим работы в последнюю очередь.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2.21. Перед началом занятий и каждый час работы учебные помещения проветриваются с учетом погодно-климатических условий &lt;26&gt;.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&lt;26&gt; </w:t>
      </w:r>
      <w:hyperlink w:history="0" r:id="rId44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Таблица 6.12 главы VI</w:t>
        </w:r>
      </w:hyperlink>
      <w:r>
        <w:rPr>
          <w:sz w:val="20"/>
        </w:rPr>
        <w:t xml:space="preserve"> СанПиН 1.2.3685-21.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2.22. Обработка (очистка) электронного оборудования, в том числе сенсорного экрана, клавиатуры, компьютерной мыши проводится в соответствии с рекомендациями производителя. Перед проведением обработки рекомендуется выключать ЭСО.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2.23. В процессе занятий рекомендуется формировать у обучающихся навыки безвредного для здоровья использования ЭСО (продолжительность занятий с ЭСО, рациональная организация рабочего места, достаточная освещенность, проведение гимнастики для глаз и физкультурных минуток (далее - ФМ) во время занятий с ЭСО) &lt;27&gt;.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&lt;27&gt; </w:t>
      </w:r>
      <w:hyperlink w:history="0" r:id="rId45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Пункты 2.10.2</w:t>
        </w:r>
      </w:hyperlink>
      <w:r>
        <w:rPr>
          <w:sz w:val="20"/>
        </w:rPr>
        <w:t xml:space="preserve">, </w:t>
      </w:r>
      <w:hyperlink w:history="0" r:id="rId46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2.10.3 главы III</w:t>
        </w:r>
      </w:hyperlink>
      <w:r>
        <w:rPr>
          <w:sz w:val="20"/>
        </w:rPr>
        <w:t xml:space="preserve"> СП 2.4.3648-20.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подпунктов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2.25. Для оптимальной организации деятельности обучающегося в домашних условиях (с учетом дневного суммарного времени использования ЭСО) рекомендуется размещать на информационных ресурсах образовательной организации (портале, сайте) данные об объеме образовательной нагрузки с использованием ЭСО для каждой учебной группы (класса).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2.26. Информацию о способах профилактики нарушений здоровья обучающихся при реализации дистанционных образовательных технологий, необходимости своевременного прохождения периодических медицинских осмотров детей (включая осмотр окулиста) рекомендуется доводить до сведения обучающихся и их родителей (законных представителей) и размещать на сайте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2.27. В образовательной организации рекомендуется назначать ответственное лицо, контролирующее выполнение санитарно-эпидемиологических требований безопасности ЦОС для здоровья обучающихся &lt;28&gt;, в том числе параметров среды &lt;29&gt; (микроклимата, освещенности, шума, электромагнитного излучения, концентрации загрязняющих веществ в воздухе помещений, положительных и отрицательных аэроионов, микробиологических показателей).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&lt;28&gt; </w:t>
      </w:r>
      <w:hyperlink w:history="0" r:id="rId47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Пункт 3.5 главы III</w:t>
        </w:r>
      </w:hyperlink>
      <w:r>
        <w:rPr>
          <w:sz w:val="20"/>
        </w:rPr>
        <w:t xml:space="preserve"> СП 2.4.3648-20.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&lt;29&gt; </w:t>
      </w:r>
      <w:hyperlink w:history="0" r:id="rId48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Глава V</w:t>
        </w:r>
      </w:hyperlink>
      <w:r>
        <w:rPr>
          <w:sz w:val="20"/>
        </w:rPr>
        <w:t xml:space="preserve"> СанПиН 1.2.3685-21.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Рекомендации по организации занятий у обучающихся</w:t>
      </w:r>
    </w:p>
    <w:p>
      <w:pPr>
        <w:pStyle w:val="2"/>
        <w:jc w:val="center"/>
      </w:pPr>
      <w:r>
        <w:rPr>
          <w:sz w:val="20"/>
        </w:rPr>
        <w:t xml:space="preserve">при реализации дистанционных образовательных технологий</w:t>
      </w:r>
    </w:p>
    <w:p>
      <w:pPr>
        <w:pStyle w:val="2"/>
        <w:jc w:val="center"/>
      </w:pPr>
      <w:r>
        <w:rPr>
          <w:sz w:val="20"/>
        </w:rPr>
        <w:t xml:space="preserve">в домашних условиях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При реализации дистанционных образовательных технологий в домашних условиях рекомендуется руководствоваться положениями, включенными в </w:t>
      </w:r>
      <w:hyperlink w:history="0" w:anchor="P40" w:tooltip="II. Рекомендации по реализации образовательных">
        <w:r>
          <w:rPr>
            <w:sz w:val="20"/>
            <w:color w:val="0000ff"/>
          </w:rPr>
          <w:t xml:space="preserve">главу II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Рабочее место обучающегося рекомендуется размещать таким образом, чтобы: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естественный свет падал слева, а для леворуких детей - справа;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обучающийся не сидел лицом или спиной к оконному проему.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Рабочее место рекомендуется обеспечивать местным источником света, который располагают слева, для леворуких детей - справа.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Рекомендуется использовать освещение, не создающее слепящий эффект и блики на поверхности экрана и клавиатуры.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Мебель для рабочего места обучающегося рекомендуется подбирать таким образом, чтобы она обеспечивала правильное положение тела при работе, исключая сдавливание туловища или конечностей, необходимость тянуться к экрану монитора, запрокидывать голову. Для этого рекомендуется использовать столы с регулируемой по высоте столешницей.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рекомендуется работать с ноутбуком или планшетом на коленях, в руках или лежа.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рекомендуется пользоваться ноутбуком и планшетом во время зарядки аккумулятора.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Для поддержания умственной работоспособности и профилактики возникновения школьно-обусловленных нарушений здоровья и заболеваний у обучающихся обеспечивается: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соответствие организации образовательного процесса и расписания занятий санитарно-эпидемиологическим требованиям &lt;30&gt;;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&lt;30&gt; </w:t>
      </w:r>
      <w:hyperlink w:history="0" r:id="rId49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Таблицы 6.6</w:t>
        </w:r>
      </w:hyperlink>
      <w:r>
        <w:rPr>
          <w:sz w:val="20"/>
        </w:rPr>
        <w:t xml:space="preserve">, </w:t>
      </w:r>
      <w:hyperlink w:history="0" r:id="rId50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6.9</w:t>
        </w:r>
      </w:hyperlink>
      <w:r>
        <w:rPr>
          <w:sz w:val="20"/>
        </w:rPr>
        <w:t xml:space="preserve"> - </w:t>
      </w:r>
      <w:hyperlink w:history="0" r:id="rId51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6.11 главы VI</w:t>
        </w:r>
      </w:hyperlink>
      <w:r>
        <w:rPr>
          <w:sz w:val="20"/>
        </w:rPr>
        <w:t xml:space="preserve"> СанПиН 1.2.3685-21; </w:t>
      </w:r>
      <w:hyperlink w:history="0" r:id="rId52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пункт 3.5.12 главы III</w:t>
        </w:r>
      </w:hyperlink>
      <w:r>
        <w:rPr>
          <w:sz w:val="20"/>
        </w:rPr>
        <w:t xml:space="preserve"> СП 2.4.3648-20.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 соответствие продолжительности использования ЭСО в образовательной и досуговой деятельности санитарно-эпидемиологическим требованиям &lt;31&gt;;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&lt;31&gt; </w:t>
      </w:r>
      <w:hyperlink w:history="0" r:id="rId53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Таблица 6.8 главы VI</w:t>
        </w:r>
      </w:hyperlink>
      <w:r>
        <w:rPr>
          <w:sz w:val="20"/>
        </w:rPr>
        <w:t xml:space="preserve"> СанПиН 1.2.3685-21.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 предпочтение бумажного носителя информации электронному;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исключение одновременного использования более двух ЭСО, оборудованных мониторами (экранами);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выключение или перевод в режим ожидания ("спящий режим") ЭСО, когда его использование приостановлено или завершено, чтобы светящийся экран не находился в поле зрения;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перерывов для выполнения комплекса упражнений, направленных на профилактику общего и зрительного утомления в середине занятия или по мере необходимости и с учетом преобладающих учебных нагрузок (</w:t>
      </w:r>
      <w:hyperlink w:history="0" w:anchor="P427" w:tooltip="РЕКОМЕНДУЕМЫЕ ФОРМЫ ДВИГАТЕЛЬНОЙ АКТИВНОСТИ В РЕЖИМЕ ДНЯ">
        <w:r>
          <w:rPr>
            <w:sz w:val="20"/>
            <w:color w:val="0000ff"/>
          </w:rPr>
          <w:t xml:space="preserve">приложения 4</w:t>
        </w:r>
      </w:hyperlink>
      <w:r>
        <w:rPr>
          <w:sz w:val="20"/>
        </w:rPr>
        <w:t xml:space="preserve"> и </w:t>
      </w:r>
      <w:hyperlink w:history="0" w:anchor="P448" w:tooltip="УПРАЖНЕНИЯ,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к настоящим МР);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проветривание помещений перед началом занятия и через каждый час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выполнение гигиенических нормативов по продолжительности режимных компонентов дня (сон, физическая активность, пребывание на свежем воздухе) &lt;32&gt;.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&lt;32&gt; </w:t>
      </w:r>
      <w:hyperlink w:history="0" r:id="rId54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Таблица 6.7 главы VI</w:t>
        </w:r>
      </w:hyperlink>
      <w:r>
        <w:rPr>
          <w:sz w:val="20"/>
        </w:rPr>
        <w:t xml:space="preserve"> СанПиН 1.2.3685-21.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3.5. С целью снижения риска нарушений зрения, осанки, появления избыточной массы тела и (или) развития ожирения, нарушений сна, агрессивного поведения и интернет-зависимости у обучающегося рекомендуется сокращать время пользования устройствами, оснащенными экраном (далее - экранное время) (не более 2-х часов в день) [</w:t>
      </w:r>
      <w:hyperlink w:history="0" w:anchor="P539" w:tooltip="11. Кучма В.Р., Соколова С.Б., Рапопорт И.К., Чубаровский В.В. Влияние поведенческих факторов риска на формирование отклонений в состоянии здоровья обучающихся. Гигиена и санитария. 2022. Т. 101. N 10. С. 1206 - 1213.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, </w:t>
      </w:r>
      <w:hyperlink w:history="0" w:anchor="P541" w:tooltip="13. Tremblay MS, Carson V, Chaput JP, Connor Gorber S, Dinh T, Duggan M, Faulkner G, Gray CE, Gruber R, Janson K, Janssen I, Katzmarzyk PT, Kho ME, Latimer-Cheung AE, LeBlanc C, Okely AD, Olds T, Pate RR, Phillips A, Poitras VJ, Rodenburg S, Sampson M, Saunders TJ, Stone JA, Stratton G, Weiss SK, Zehr L. Canadian 24-Hour Movement Guidelines for Children and Youth: An Integration of Physical Activity, Sedentary Behaviour, and Sleep. Appl Physiol Nutr Metab. 2016 Jun; 41 (6 Suppl 3): 311 - 27. doi: 10.1139...">
        <w:r>
          <w:rPr>
            <w:sz w:val="20"/>
            <w:color w:val="0000ff"/>
          </w:rPr>
          <w:t xml:space="preserve">13</w:t>
        </w:r>
      </w:hyperlink>
      <w:r>
        <w:rPr>
          <w:sz w:val="20"/>
        </w:rPr>
        <w:t xml:space="preserve">, </w:t>
      </w:r>
      <w:hyperlink w:history="0" w:anchor="P542" w:tooltip="14. Carson, V., Hunter, S., Kuzik, N., Gray, C.E., Poitras, V.J., Chaput, J.-P., et al. Systematic review of sedentary behaviour and health indicators in school-aged children and youth: an update. Appl. Physiol. Nutr. Metab. 2016. T. 41.">
        <w:r>
          <w:rPr>
            <w:sz w:val="20"/>
            <w:color w:val="0000ff"/>
          </w:rPr>
          <w:t xml:space="preserve">14</w:t>
        </w:r>
      </w:hyperlink>
      <w:r>
        <w:rPr>
          <w:sz w:val="20"/>
        </w:rPr>
        <w:t xml:space="preserve">]. Рекомендации по снижению экранного времени представлены в </w:t>
      </w:r>
      <w:hyperlink w:history="0" w:anchor="P500" w:tooltip="РЕКОМЕНДАЦИИ">
        <w:r>
          <w:rPr>
            <w:sz w:val="20"/>
            <w:color w:val="0000ff"/>
          </w:rPr>
          <w:t xml:space="preserve">приложении 6</w:t>
        </w:r>
      </w:hyperlink>
      <w:r>
        <w:rPr>
          <w:sz w:val="20"/>
        </w:rPr>
        <w:t xml:space="preserve"> к настоящим МР.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МР 2.4.0330-23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(рекомендуемый образец)</w:t>
      </w:r>
    </w:p>
    <w:p>
      <w:pPr>
        <w:pStyle w:val="0"/>
        <w:jc w:val="both"/>
      </w:pPr>
      <w:r>
        <w:rPr>
          <w:sz w:val="20"/>
        </w:rPr>
      </w:r>
    </w:p>
    <w:bookmarkStart w:id="210" w:name="P210"/>
    <w:bookmarkEnd w:id="210"/>
    <w:p>
      <w:pPr>
        <w:pStyle w:val="0"/>
        <w:outlineLvl w:val="1"/>
        <w:jc w:val="center"/>
      </w:pPr>
      <w:r>
        <w:rPr>
          <w:sz w:val="20"/>
        </w:rPr>
        <w:t xml:space="preserve">Пример журнала</w:t>
      </w:r>
    </w:p>
    <w:p>
      <w:pPr>
        <w:pStyle w:val="0"/>
        <w:jc w:val="center"/>
      </w:pPr>
      <w:r>
        <w:rPr>
          <w:sz w:val="20"/>
        </w:rPr>
        <w:t xml:space="preserve">контроля безопасности ЭСО в образовательной организации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граф в таблице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75"/>
        <w:gridCol w:w="625"/>
        <w:gridCol w:w="720"/>
        <w:gridCol w:w="720"/>
        <w:gridCol w:w="562"/>
        <w:gridCol w:w="583"/>
        <w:gridCol w:w="745"/>
        <w:gridCol w:w="510"/>
        <w:gridCol w:w="623"/>
        <w:gridCol w:w="604"/>
        <w:gridCol w:w="690"/>
        <w:gridCol w:w="569"/>
        <w:gridCol w:w="850"/>
        <w:gridCol w:w="527"/>
        <w:gridCol w:w="652"/>
        <w:gridCol w:w="748"/>
        <w:gridCol w:w="511"/>
        <w:gridCol w:w="630"/>
        <w:gridCol w:w="737"/>
        <w:gridCol w:w="629"/>
      </w:tblGrid>
      <w:tr>
        <w:tc>
          <w:tcPr>
            <w:tcW w:w="8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Классы</w:t>
            </w:r>
          </w:p>
        </w:tc>
        <w:tc>
          <w:tcPr>
            <w:tcW w:w="62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закупки</w:t>
            </w:r>
          </w:p>
        </w:tc>
        <w:tc>
          <w:tcPr>
            <w:tcW w:w="7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службы </w:t>
            </w:r>
            <w:hyperlink w:history="0" w:anchor="P319" w:tooltip="Примечание: &lt;*&gt; согласно разделу &quot;Дополнительная информация&quot; документа, подтверждающего соответствие ЭСО требованиям безопасности, установленным законодательством Российской Федерации &lt;33&gt;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Помещение, в котором установлено (используется) ЭСО</w:t>
            </w:r>
          </w:p>
        </w:tc>
        <w:tc>
          <w:tcPr>
            <w:gridSpan w:val="3"/>
            <w:tcW w:w="1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планшетов, используемых для обучающихся</w:t>
            </w:r>
          </w:p>
        </w:tc>
        <w:tc>
          <w:tcPr>
            <w:gridSpan w:val="6"/>
            <w:tcW w:w="3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ноутбуков, используемых для обучающихся</w:t>
            </w:r>
          </w:p>
        </w:tc>
        <w:tc>
          <w:tcPr>
            <w:gridSpan w:val="3"/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ПК, используемых для обучающихся</w:t>
            </w:r>
          </w:p>
        </w:tc>
        <w:tc>
          <w:tcPr>
            <w:gridSpan w:val="3"/>
            <w:tcW w:w="18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ИД (ИП)</w:t>
            </w:r>
          </w:p>
        </w:tc>
        <w:tc>
          <w:tcPr>
            <w:tcW w:w="62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Дата, подпись ответственного лица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5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диагональю 10,5 дюймов</w:t>
            </w:r>
          </w:p>
        </w:tc>
        <w:tc>
          <w:tcPr>
            <w:tcW w:w="7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диагональю более 10,5 дюймов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диагональю 14,0 дюймов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диагональю 15,6 дюймов</w:t>
            </w:r>
          </w:p>
        </w:tc>
        <w:tc>
          <w:tcPr>
            <w:tcW w:w="6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диагональю более 15,6 дюймов</w:t>
            </w:r>
          </w:p>
        </w:tc>
        <w:tc>
          <w:tcPr>
            <w:tcW w:w="5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оснащенных подставкой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оснащенных дополнительной клавиатурой</w:t>
            </w:r>
          </w:p>
        </w:tc>
        <w:tc>
          <w:tcPr>
            <w:tcW w:w="5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6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диагональю 15,6 дюймов</w:t>
            </w:r>
          </w:p>
        </w:tc>
        <w:tc>
          <w:tcPr>
            <w:tcW w:w="7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диагональю более 15,6 дюймов</w:t>
            </w:r>
          </w:p>
        </w:tc>
        <w:tc>
          <w:tcPr>
            <w:tcW w:w="5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диагональю 65,0 дюймов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диагональю более 65,0 дюймов</w:t>
            </w:r>
          </w:p>
        </w:tc>
        <w:tc>
          <w:tcPr>
            <w:vMerge w:val="continue"/>
          </w:tcPr>
          <w:p/>
        </w:tc>
      </w:tr>
      <w:tr>
        <w:tc>
          <w:tcPr>
            <w:tcW w:w="8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6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7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8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 кл.</w:t>
            </w:r>
          </w:p>
        </w:tc>
        <w:tc>
          <w:tcPr>
            <w:tcW w:w="6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5 - 9 кл.</w:t>
            </w:r>
          </w:p>
        </w:tc>
        <w:tc>
          <w:tcPr>
            <w:tcW w:w="6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10 - 11 кл.</w:t>
            </w:r>
          </w:p>
        </w:tc>
        <w:tc>
          <w:tcPr>
            <w:tcW w:w="6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0"/>
            <w:tcW w:w="13110" w:type="dxa"/>
          </w:tcPr>
          <w:bookmarkStart w:id="319" w:name="P319"/>
          <w:bookmarkEnd w:id="319"/>
          <w:p>
            <w:pPr>
              <w:pStyle w:val="0"/>
              <w:jc w:val="both"/>
            </w:pPr>
            <w:r>
              <w:rPr>
                <w:sz w:val="20"/>
              </w:rPr>
              <w:t xml:space="preserve">Примечание: &lt;*&gt; согласно разделу "Дополнительная информация" документа, подтверждающего соответствие ЭСО требованиям безопасности, установленным законодательством Российской Федерации </w:t>
            </w:r>
            <w:hyperlink w:history="0" w:anchor="P344" w:tooltip="&lt;33&gt; ТР ТС 004/2011, ТР ТС 020/2011.">
              <w:r>
                <w:rPr>
                  <w:sz w:val="20"/>
                  <w:color w:val="0000ff"/>
                </w:rPr>
                <w:t xml:space="preserve">&lt;33&gt;</w:t>
              </w:r>
            </w:hyperlink>
            <w:r>
              <w:rPr>
                <w:sz w:val="20"/>
              </w:rPr>
              <w:t xml:space="preserve">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Пример журнала</w:t>
      </w:r>
    </w:p>
    <w:p>
      <w:pPr>
        <w:pStyle w:val="0"/>
        <w:jc w:val="center"/>
      </w:pPr>
      <w:r>
        <w:rPr>
          <w:sz w:val="20"/>
        </w:rPr>
        <w:t xml:space="preserve">учета ЭСО у обучающихся класса (группы) при реализации</w:t>
      </w:r>
    </w:p>
    <w:p>
      <w:pPr>
        <w:pStyle w:val="0"/>
        <w:jc w:val="center"/>
      </w:pPr>
      <w:r>
        <w:rPr>
          <w:sz w:val="20"/>
        </w:rPr>
        <w:t xml:space="preserve">дистанционных образовательных технологий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55"/>
        <w:gridCol w:w="1470"/>
        <w:gridCol w:w="730"/>
        <w:gridCol w:w="1138"/>
        <w:gridCol w:w="1147"/>
        <w:gridCol w:w="1500"/>
        <w:gridCol w:w="1431"/>
        <w:gridCol w:w="1432"/>
        <w:gridCol w:w="583"/>
        <w:gridCol w:w="829"/>
        <w:gridCol w:w="1530"/>
      </w:tblGrid>
      <w:tr>
        <w:tc>
          <w:tcPr>
            <w:tcW w:w="5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4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ФИО</w:t>
            </w:r>
          </w:p>
        </w:tc>
        <w:tc>
          <w:tcPr>
            <w:gridSpan w:val="4"/>
            <w:tcW w:w="4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 ЭСО у обучающегося дома (отметить)</w:t>
            </w:r>
          </w:p>
        </w:tc>
        <w:tc>
          <w:tcPr>
            <w:gridSpan w:val="2"/>
            <w:tcW w:w="28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Соответствие ЭСО санитарно-эпидемиологическим требованиям </w:t>
            </w:r>
            <w:hyperlink w:history="0" w:anchor="P341" w:tooltip="Примечание: &lt;*&gt; НБ - ноутбук; &lt;**&gt; для ПК и планшета - по показателю &quot;размер экрана&quot; &lt;34&gt;; для ноутбука - по показателям &quot;размер экрана&quot;, &quot;наличие подставки, дополнительной клавиатуры&quot; &lt;35&gt;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gridSpan w:val="3"/>
            <w:tcW w:w="29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 устойчивого Интернета для занятий (отметить)</w:t>
            </w:r>
          </w:p>
        </w:tc>
      </w:tr>
      <w:tr>
        <w:tc>
          <w:tcPr>
            <w:tcW w:w="5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ПК</w:t>
            </w:r>
          </w:p>
        </w:tc>
        <w:tc>
          <w:tcPr>
            <w:tcW w:w="1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НБ </w:t>
            </w:r>
            <w:hyperlink w:history="0" w:anchor="P341" w:tooltip="Примечание: &lt;*&gt; НБ - ноутбук; &lt;**&gt; для ПК и планшета - по показателю &quot;размер экрана&quot; &lt;34&gt;; для ноутбука - по показателям &quot;размер экрана&quot;, &quot;наличие подставки, дополнительной клавиатуры&quot; &lt;35&gt;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1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планшет</w:t>
            </w:r>
          </w:p>
        </w:tc>
        <w:tc>
          <w:tcPr>
            <w:tcW w:w="15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</w:t>
            </w:r>
          </w:p>
        </w:tc>
        <w:tc>
          <w:tcPr>
            <w:tcW w:w="14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4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5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8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ВСЕГДА</w:t>
            </w:r>
          </w:p>
        </w:tc>
      </w:tr>
      <w:tr>
        <w:tc>
          <w:tcPr>
            <w:gridSpan w:val="11"/>
            <w:tcW w:w="12345" w:type="dxa"/>
            <w:vAlign w:val="bottom"/>
          </w:tcPr>
          <w:bookmarkStart w:id="341" w:name="P341"/>
          <w:bookmarkEnd w:id="341"/>
          <w:p>
            <w:pPr>
              <w:pStyle w:val="0"/>
              <w:jc w:val="both"/>
            </w:pPr>
            <w:r>
              <w:rPr>
                <w:sz w:val="20"/>
              </w:rPr>
              <w:t xml:space="preserve">Примечание: &lt;*&gt; НБ - ноутбук; &lt;**&gt; для ПК и планшета - по показателю "размер экрана" </w:t>
            </w:r>
            <w:hyperlink w:history="0" w:anchor="P345" w:tooltip="&lt;34&gt; Таблица 6.3 главы VI СанПиН 1.2.3685-21.">
              <w:r>
                <w:rPr>
                  <w:sz w:val="20"/>
                  <w:color w:val="0000ff"/>
                </w:rPr>
                <w:t xml:space="preserve">&lt;34&gt;</w:t>
              </w:r>
            </w:hyperlink>
            <w:r>
              <w:rPr>
                <w:sz w:val="20"/>
              </w:rPr>
              <w:t xml:space="preserve">; для ноутбука - по показателям "размер экрана", "наличие подставки, дополнительной клавиатуры" </w:t>
            </w:r>
            <w:hyperlink w:history="0" w:anchor="P346" w:tooltip="&lt;35&gt; Таблица 6.3, пункт 189 главы VI СанПиН 1.2.3685-21; пункт 3.5.4 главы III СП 2.4.3648-20.">
              <w:r>
                <w:rPr>
                  <w:sz w:val="20"/>
                  <w:color w:val="0000ff"/>
                </w:rPr>
                <w:t xml:space="preserve">&lt;35&gt;</w:t>
              </w:r>
            </w:hyperlink>
            <w:r>
              <w:rPr>
                <w:sz w:val="20"/>
              </w:rPr>
              <w:t xml:space="preserve">.</w:t>
            </w:r>
          </w:p>
        </w:tc>
      </w:tr>
    </w:tbl>
    <w:p>
      <w:pPr>
        <w:sectPr>
          <w:headerReference w:type="default" r:id="rId55"/>
          <w:headerReference w:type="first" r:id="rId55"/>
          <w:footerReference w:type="default" r:id="rId56"/>
          <w:footerReference w:type="first" r:id="rId5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344" w:name="P344"/>
    <w:bookmarkEnd w:id="3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&lt;33&gt; </w:t>
      </w:r>
      <w:hyperlink w:history="0" r:id="rId57" w:tooltip="Решение Комиссии Таможенного союза от 16.08.2011 N 768 (ред. от 11.05.2023) &quot;О принятии технического регламента Таможенного союза &quot;О безопасности низковольтного оборудования&quot; (вместе с &quot;ТР ТС 004/2011. Технический регламент Таможенного Союза. О безопасности низковольтного оборудования&quot;) {КонсультантПлюс}">
        <w:r>
          <w:rPr>
            <w:sz w:val="20"/>
            <w:color w:val="0000ff"/>
          </w:rPr>
          <w:t xml:space="preserve">ТР ТС 004/2011</w:t>
        </w:r>
      </w:hyperlink>
      <w:r>
        <w:rPr>
          <w:sz w:val="20"/>
        </w:rPr>
        <w:t xml:space="preserve">, </w:t>
      </w:r>
      <w:hyperlink w:history="0" r:id="rId58" w:tooltip="Решение Комиссии Таможенного союза от 09.12.2011 N 879 (ред. от 10.06.2022) &quot;О принятии технического регламента Таможенного союза &quot;Электромагнитная совместимость технических средств&quot; (вместе с &quot;ТР ТС 020/2011. Технический регламент Таможенного союза. Электромагнитная совместимость технических средств&quot;) {КонсультантПлюс}">
        <w:r>
          <w:rPr>
            <w:sz w:val="20"/>
            <w:color w:val="0000ff"/>
          </w:rPr>
          <w:t xml:space="preserve">ТР ТС 020/2011</w:t>
        </w:r>
      </w:hyperlink>
      <w:r>
        <w:rPr>
          <w:sz w:val="20"/>
        </w:rPr>
        <w:t xml:space="preserve">.</w:t>
      </w:r>
    </w:p>
    <w:bookmarkStart w:id="345" w:name="P345"/>
    <w:bookmarkEnd w:id="3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&lt;34&gt; </w:t>
      </w:r>
      <w:hyperlink w:history="0" r:id="rId59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Таблица 6.3 главы VI</w:t>
        </w:r>
      </w:hyperlink>
      <w:r>
        <w:rPr>
          <w:sz w:val="20"/>
        </w:rPr>
        <w:t xml:space="preserve"> СанПиН 1.2.3685-21.</w:t>
      </w:r>
    </w:p>
    <w:bookmarkStart w:id="346" w:name="P346"/>
    <w:bookmarkEnd w:id="3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&lt;35&gt; </w:t>
      </w:r>
      <w:hyperlink w:history="0" r:id="rId60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Таблица 6.3</w:t>
        </w:r>
      </w:hyperlink>
      <w:r>
        <w:rPr>
          <w:sz w:val="20"/>
        </w:rPr>
        <w:t xml:space="preserve">, </w:t>
      </w:r>
      <w:hyperlink w:history="0" r:id="rId61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пункт 189 главы VI</w:t>
        </w:r>
      </w:hyperlink>
      <w:r>
        <w:rPr>
          <w:sz w:val="20"/>
        </w:rPr>
        <w:t xml:space="preserve"> СанПиН 1.2.3685-21; </w:t>
      </w:r>
      <w:hyperlink w:history="0" r:id="rId62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пункт 3.5.4 главы III</w:t>
        </w:r>
      </w:hyperlink>
      <w:r>
        <w:rPr>
          <w:sz w:val="20"/>
        </w:rPr>
        <w:t xml:space="preserve"> СП 2.4.3648-20.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МР 2.4.0330-23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(рекомендуемый образец)</w:t>
      </w:r>
    </w:p>
    <w:p>
      <w:pPr>
        <w:pStyle w:val="0"/>
        <w:jc w:val="both"/>
      </w:pPr>
      <w:r>
        <w:rPr>
          <w:sz w:val="20"/>
        </w:rPr>
      </w:r>
    </w:p>
    <w:bookmarkStart w:id="357" w:name="P357"/>
    <w:bookmarkEnd w:id="357"/>
    <w:p>
      <w:pPr>
        <w:pStyle w:val="2"/>
        <w:jc w:val="center"/>
      </w:pPr>
      <w:r>
        <w:rPr>
          <w:sz w:val="20"/>
        </w:rPr>
        <w:t xml:space="preserve">ПРИМЕРЫ</w:t>
      </w:r>
    </w:p>
    <w:p>
      <w:pPr>
        <w:pStyle w:val="2"/>
        <w:jc w:val="center"/>
      </w:pPr>
      <w:r>
        <w:rPr>
          <w:sz w:val="20"/>
        </w:rPr>
        <w:t xml:space="preserve">РАСПОЛОЖЕНИЯ РАБОЧИХ МЕСТ ОБУЧАЮЩИХСЯ, ИСПОЛЬЗУЮЩИХ</w:t>
      </w:r>
    </w:p>
    <w:p>
      <w:pPr>
        <w:pStyle w:val="2"/>
        <w:jc w:val="center"/>
      </w:pPr>
      <w:r>
        <w:rPr>
          <w:sz w:val="20"/>
        </w:rPr>
        <w:t xml:space="preserve">ПЕРСОНАЛЬНЫЕ КОМПЬЮТЕРЫ, ПО ОТНОШЕНИЮ К СВЕТОВЫМ ПРОЕМАМ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Расположение рабочего места по отношению к световым проемам влияет на восприятие изображения на экране мониторов и комфортность данного процесса для обучающегося. В случае нерационального размещения рабочего места возрастает отраженная блескость поверхности монитора и оборудования на рабочем месте, что приводит к ухудшению восприятия изображения на экране и напряжению органа зрения, из-за наличия предметов с высокой яркостью или значительно отличающихся по яркости от иных предметов на рабочем месте.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Рабочие места располагают по отношению к световым проемам таким образом, чтобы внешний свет падал сбоку. Рекомендуемое размещение рабочих мест представлено на рис. 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91"/>
        </w:rPr>
        <w:drawing>
          <wp:inline distT="0" distB="0" distL="0" distR="0">
            <wp:extent cx="5038090" cy="382651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382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Рис. 2. Пример рекомендуемого расположения рабочих мест</w:t>
      </w:r>
    </w:p>
    <w:p>
      <w:pPr>
        <w:pStyle w:val="0"/>
        <w:jc w:val="center"/>
      </w:pPr>
      <w:r>
        <w:rPr>
          <w:sz w:val="20"/>
        </w:rPr>
        <w:t xml:space="preserve">в помещениях относительно световых проемов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Расположение рабочего места относительно электропроводки в помещении.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Наиболее рациональные варианты взаимного расположения рабочих мест представлены на рис. 3 - 7.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140"/>
        </w:rPr>
        <w:drawing>
          <wp:inline distT="0" distB="0" distL="0" distR="0">
            <wp:extent cx="5038090" cy="191135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Рис. 3. Рекомендуемый возможный вариант рядного расположения</w:t>
      </w:r>
    </w:p>
    <w:p>
      <w:pPr>
        <w:pStyle w:val="0"/>
        <w:jc w:val="center"/>
      </w:pPr>
      <w:r>
        <w:rPr>
          <w:sz w:val="20"/>
        </w:rPr>
        <w:t xml:space="preserve">рабочих мест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156"/>
        </w:rPr>
        <w:drawing>
          <wp:inline distT="0" distB="0" distL="0" distR="0">
            <wp:extent cx="5038090" cy="211201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211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Рис. 4. Рекомендуемый наилучший вариант рядного</w:t>
      </w:r>
    </w:p>
    <w:p>
      <w:pPr>
        <w:pStyle w:val="0"/>
        <w:jc w:val="center"/>
      </w:pPr>
      <w:r>
        <w:rPr>
          <w:sz w:val="20"/>
        </w:rPr>
        <w:t xml:space="preserve">расположения рабочих мест с обеспечением максимального</w:t>
      </w:r>
    </w:p>
    <w:p>
      <w:pPr>
        <w:pStyle w:val="0"/>
        <w:jc w:val="center"/>
      </w:pPr>
      <w:r>
        <w:rPr>
          <w:sz w:val="20"/>
        </w:rPr>
        <w:t xml:space="preserve">расстояния от пользователя до оборудования соседнего</w:t>
      </w:r>
    </w:p>
    <w:p>
      <w:pPr>
        <w:pStyle w:val="0"/>
        <w:jc w:val="center"/>
      </w:pPr>
      <w:r>
        <w:rPr>
          <w:sz w:val="20"/>
        </w:rPr>
        <w:t xml:space="preserve">рабочего места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156"/>
        </w:rPr>
        <w:drawing>
          <wp:inline distT="0" distB="0" distL="0" distR="0">
            <wp:extent cx="4332605" cy="21113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605" cy="211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Рис. 5. Рекомендуемый вариант линейного расположения</w:t>
      </w:r>
    </w:p>
    <w:p>
      <w:pPr>
        <w:pStyle w:val="0"/>
        <w:jc w:val="center"/>
      </w:pPr>
      <w:r>
        <w:rPr>
          <w:sz w:val="20"/>
        </w:rPr>
        <w:t xml:space="preserve">рабочих мест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118"/>
        </w:rPr>
        <w:drawing>
          <wp:inline distT="0" distB="0" distL="0" distR="0">
            <wp:extent cx="5038090" cy="163195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Рис. 6. Рекомендуемый вариант линейного расположения</w:t>
      </w:r>
    </w:p>
    <w:p>
      <w:pPr>
        <w:pStyle w:val="0"/>
        <w:jc w:val="center"/>
      </w:pPr>
      <w:r>
        <w:rPr>
          <w:sz w:val="20"/>
        </w:rPr>
        <w:t xml:space="preserve">большого количества рабочих мест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122"/>
        </w:rPr>
        <w:drawing>
          <wp:inline distT="0" distB="0" distL="0" distR="0">
            <wp:extent cx="5038090" cy="167767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Рис. 7. Рекомендуемый вариант линейного расположения рабочих</w:t>
      </w:r>
    </w:p>
    <w:p>
      <w:pPr>
        <w:pStyle w:val="0"/>
        <w:jc w:val="center"/>
      </w:pPr>
      <w:r>
        <w:rPr>
          <w:sz w:val="20"/>
        </w:rPr>
        <w:t xml:space="preserve">мест при использовании перегородок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МР 2.4.0330-23</w:t>
      </w:r>
    </w:p>
    <w:p>
      <w:pPr>
        <w:pStyle w:val="0"/>
        <w:jc w:val="both"/>
      </w:pPr>
      <w:r>
        <w:rPr>
          <w:sz w:val="20"/>
        </w:rPr>
      </w:r>
    </w:p>
    <w:bookmarkStart w:id="406" w:name="P406"/>
    <w:bookmarkEnd w:id="406"/>
    <w:p>
      <w:pPr>
        <w:pStyle w:val="2"/>
        <w:jc w:val="center"/>
      </w:pPr>
      <w:r>
        <w:rPr>
          <w:sz w:val="20"/>
        </w:rPr>
        <w:t xml:space="preserve">ПРИМЕР</w:t>
      </w:r>
    </w:p>
    <w:p>
      <w:pPr>
        <w:pStyle w:val="2"/>
        <w:jc w:val="center"/>
      </w:pPr>
      <w:r>
        <w:rPr>
          <w:sz w:val="20"/>
        </w:rPr>
        <w:t xml:space="preserve">ОПРЕДЕЛЕНИЯ СУММАРНОЙ ПРОДОЛЖИТЕЛЬНОСТИ ИСПОЛЬЗОВАНИЯ ЭСО</w:t>
      </w:r>
    </w:p>
    <w:p>
      <w:pPr>
        <w:pStyle w:val="2"/>
        <w:jc w:val="center"/>
      </w:pPr>
      <w:r>
        <w:rPr>
          <w:sz w:val="20"/>
        </w:rPr>
        <w:t xml:space="preserve">И (ИЛИ) СРЕДСТВ, ОСНАЩЕННЫХ ЭКРАНОМ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Например, во 2-м классе в соответствии с санитарно-эпидемиологическими требованиями &lt;36&gt; суммарная продолжительность использования ЭСО в день не превышает 80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</w:t>
      </w:r>
      <w:hyperlink w:history="0" r:id="rId69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Таблица 6.8 главы VI</w:t>
        </w:r>
      </w:hyperlink>
      <w:r>
        <w:rPr>
          <w:sz w:val="20"/>
        </w:rPr>
        <w:t xml:space="preserve"> СанПиН 1.2.3685-21.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Варианты распределения времени использования ЭСО: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4 урока по 20 минут = 80 минут;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3 урока по 20 минут (60 минут) + выполнение домашнего задания (20 минут) = 80 минут;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2 урока по 20 минут (40 минут) + выполнение домашнего задания (20 минут) + досуговая деятельность (20 минут) = 80 минут;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выполнение домашнего задания (20 минут) + дополнительные занятия 20 минут) + досуговая деятельность (40 минут) = 80 минут.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МР 2.4.0330-23</w:t>
      </w:r>
    </w:p>
    <w:p>
      <w:pPr>
        <w:pStyle w:val="0"/>
        <w:jc w:val="both"/>
      </w:pPr>
      <w:r>
        <w:rPr>
          <w:sz w:val="20"/>
        </w:rPr>
      </w:r>
    </w:p>
    <w:bookmarkStart w:id="427" w:name="P427"/>
    <w:bookmarkEnd w:id="427"/>
    <w:p>
      <w:pPr>
        <w:pStyle w:val="2"/>
        <w:jc w:val="center"/>
      </w:pPr>
      <w:r>
        <w:rPr>
          <w:sz w:val="20"/>
        </w:rPr>
        <w:t xml:space="preserve">РЕКОМЕНДУЕМЫЕ ФОРМЫ ДВИГАТЕЛЬНОЙ АКТИВНОСТИ В РЕЖИМЕ ДНЯ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Перед началом учебного дня организуется утренняя гимнастика продолжительностью 5 - 7 мин.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Двигательная активность, необходимая для обучающихся на переменах, обеспечивается: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организацией активного отдыха с использованием комплекта многофункционального спортивно-игрового оборудования, включающего, например, шведские стенки, мягкие игровые и спортивные модули;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проведением подвижных игр;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организацией отдельных зон (например, батутной зоны, скалодрома), размещением оборудования на открытом воздухе (например, качели, карусели, качалки, батут, скалодром).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Рекомендуется проведение утренней гимнастики, подвижных игр на открытом воздухе.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Во время учебных занятий организуются ФМ, проведение которых включается в план урока.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Выбор упражнений для ФМ определяется содержанием и продолжительностью учебной деятельности (например, письмо, чтение, просмотр видеоматериала, работа с ЭСО). Упражнения, рекомендуемые для включения в ФМ, представлены в </w:t>
      </w:r>
      <w:hyperlink w:history="0" w:anchor="P448" w:tooltip="УПРАЖНЕНИЯ,">
        <w:r>
          <w:rPr>
            <w:sz w:val="20"/>
            <w:color w:val="0000ff"/>
          </w:rPr>
          <w:t xml:space="preserve">приложении 5</w:t>
        </w:r>
      </w:hyperlink>
      <w:r>
        <w:rPr>
          <w:sz w:val="20"/>
        </w:rPr>
        <w:t xml:space="preserve"> к настоящим МР.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Комплекс физических упражнений и форм двигательной активности составляется совместно с педагогом физической культуры и медицинским работником образовательной организации с учетом возраста, пола и состояния здоровья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Для повышения мотивации обучающихся рекомендуется применение современных эмоционально окрашенных форм двигательной активности с использованием музыкального сопровождения, которые меняются не реже 1 раза в 2 недели.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 утренней гимнастике, активным переменам не рекомендуется допускать обучающихся, имеющих жалобы на плохое самочувствие.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5</w:t>
      </w:r>
    </w:p>
    <w:p>
      <w:pPr>
        <w:pStyle w:val="0"/>
        <w:jc w:val="right"/>
      </w:pPr>
      <w:r>
        <w:rPr>
          <w:sz w:val="20"/>
        </w:rPr>
        <w:t xml:space="preserve">к МР 2.4.0330-23</w:t>
      </w:r>
    </w:p>
    <w:p>
      <w:pPr>
        <w:pStyle w:val="0"/>
        <w:jc w:val="both"/>
      </w:pPr>
      <w:r>
        <w:rPr>
          <w:sz w:val="20"/>
        </w:rPr>
      </w:r>
    </w:p>
    <w:bookmarkStart w:id="448" w:name="P448"/>
    <w:bookmarkEnd w:id="448"/>
    <w:p>
      <w:pPr>
        <w:pStyle w:val="2"/>
        <w:jc w:val="center"/>
      </w:pPr>
      <w:r>
        <w:rPr>
          <w:sz w:val="20"/>
        </w:rPr>
        <w:t xml:space="preserve">УПРАЖНЕНИЯ,</w:t>
      </w:r>
    </w:p>
    <w:p>
      <w:pPr>
        <w:pStyle w:val="2"/>
        <w:jc w:val="center"/>
      </w:pPr>
      <w:r>
        <w:rPr>
          <w:sz w:val="20"/>
        </w:rPr>
        <w:t xml:space="preserve">РЕКОМЕНДУЕМЫЕ ДЛЯ ВКЛЮЧЕНИЯ В ФИЗКУЛЬТУРНЫЕ МИНУТКИ &lt;37&gt;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&lt;37&gt; Примечание: упражнения выполняются в исходном положении стоя, стопы вместе, руки опущены вдоль туловища.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1. Упражнения для профилактики зрительного утомления.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Сильно зажмурить глаза на 3 - 5 с, затем открыть глаза на 3 - 5 с. Повторить 3 - 4 раза.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Быстро моргать примерно 5 - 7 с, закрыть глаза на 5 с. Повторить 3 - 4 раза.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Медленно поднять глаза вверх, затем опустить глаза вниз. Повторить 3 - 4 раза.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Медленно перевести глаза вправо, затем - влево. Повторить 3 - 4 раза.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Медленно вращать глазами по часовой стрелке, затем наоборот. Повторить 3 - 4 раза.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После 20 минут работы с использованием ЭСО делается пауза 20 с, во время которой рекомендуется смотреть на предметы, расположенные на расстоянии 6 м (~ 20 футов) и более (комплекс "20-20-20").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Посмотреть на точку на стекле (любой близко расположенный предмет), затем перевести взгляд на далеко расположенный предмет (упражнение "с меткой на стекле"). Повторить 3 - 4 раза.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В максимально вытянутой руке держать небольшой, лучше яркий, предмет и внимательно смотреть на него. Затем необходимо медленно поднести предмет к носу. Как только предмет превратится в одно яркое пятно, досчитать до пяти и медленно отвести руку обратно. Повторить 3 - 4 раза.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Следить взглядом по заданной траектории с использованием офтальмотренажеров, различных предметов за воображаемыми цифрами, буквами, линиями или движущимися объектами. С целью профилактики травм в шейном отделе позвоночника офтальмотренажеры, а также предметы, используемые для проведения упражнений, размещаются во фронтальной плоскости.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2. Упражнения для снятия напряжения с мышц предплечья и кистей рук.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Сжать максимально руки в кулак и подержать 3 с, затем разжать и подержать 6 с. Повторить 3 - 4 раза.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Выполнять круговые движения кистью правой руки против часовой стрелки, левой - по часовой стрелке. Повторить 3 - 4 раза. Затем повторить движения в обратном направлении. Повторить 3 - 4 раза.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Совместить ладони рук, расположенных вертикально, и надавить пальцами друг на друга в течение 3 - 5 с, затем расслабить. Повторить 3 - 4 раза.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Выполнять круговые движения большими пальцами кистей рук - правым против часовой стрелки, левый - по часовой стрелке, затем - наоборот. Повторить 3 - 4 раза.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Совместить поочередно большие пальцы с другими пальцами кистей рук, надавливая друг на друга. Повторить 3 - 4 раза.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Несколько раз энергично встряхнуть сначала кистями поднятых рук, затем кистями опущенных выпрямленных рук.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3. Упражнения для повышения активности центральной нервной системы.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Выполнять прыжки на месте на двух ногах на носках 5 - 7 раз.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Повернуть туловище вправо, вернуться в исходное положение, затем влево, вернуться в исходное положение. При выполнении упражнения положение стоп (на ширине плеч) не меняется. Повторить 3 - 4 раза.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Повернуться вправо на 360°, затем влево на 360°.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4. Упражнения для снятия напряжения с мышц шеи и плечевого пояса.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Отвести плечи максимально назад, задержать положение на 3 с, вернуться в исходное положение. Повторить 3 - 4 раза.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Поднять плечи максимально вверх, задержать положение на 3 с, вернуться в исходное положение. Повторить 3 - 4 раза.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Соединить пальцы рук за спиной, стараясь зацепить их "в замок" - правая рука вверху, левая внизу, затем поменять положение рук. Повторить 3 - 4 раза.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5. Упражнения для снятия напряжения с мышц туловища.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Поднять руки вверх, потянуться, задержать положение на 3 с, опустить руки вниз. Повторить 3 - 4 раза.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Поставить руки на пояс, разместив большие пальцы спереди, а ладони сзади. Прогнуться назад, не запрокидывая головы, и вернуться в исходное положение. Повторить 3 - 4 раза.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Поставить ноги на ширину плеч, руки - вдоль туловища. Плавно наклониться вправо, скользя ладонью руки вдоль ноги, затем повторить наклон влево. Повторить 3 - 4 раза.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6. Упражнения для укрепления мышц и связок нижних конечностей.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 Максимально подняться на носки обеих ног, вернуться в исходное положение. Повторить 3 - 4 раза.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Поставить правую ногу вперед, не отрывая пятки от пола, затем максимально потянуть носок ноги на себя и вернуться в исходное положение. Повторить 3 - 4 раза. То же упражнение выполнить для левой ноги.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Выполнять перекаты с пятки на носок на обеих стопах одновременно, затем - с носка на пятку. Повторить 3 - 4 раза.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6</w:t>
      </w:r>
    </w:p>
    <w:p>
      <w:pPr>
        <w:pStyle w:val="0"/>
        <w:jc w:val="right"/>
      </w:pPr>
      <w:r>
        <w:rPr>
          <w:sz w:val="20"/>
        </w:rPr>
        <w:t xml:space="preserve">к МР 2.4.0330-23</w:t>
      </w:r>
    </w:p>
    <w:p>
      <w:pPr>
        <w:pStyle w:val="0"/>
        <w:jc w:val="both"/>
      </w:pPr>
      <w:r>
        <w:rPr>
          <w:sz w:val="20"/>
        </w:rPr>
      </w:r>
    </w:p>
    <w:bookmarkStart w:id="500" w:name="P500"/>
    <w:bookmarkEnd w:id="500"/>
    <w:p>
      <w:pPr>
        <w:pStyle w:val="2"/>
        <w:jc w:val="center"/>
      </w:pPr>
      <w:r>
        <w:rPr>
          <w:sz w:val="20"/>
        </w:rPr>
        <w:t xml:space="preserve">РЕКОМЕНДАЦИИ</w:t>
      </w:r>
    </w:p>
    <w:p>
      <w:pPr>
        <w:pStyle w:val="2"/>
        <w:jc w:val="center"/>
      </w:pPr>
      <w:r>
        <w:rPr>
          <w:sz w:val="20"/>
        </w:rPr>
        <w:t xml:space="preserve">ДЛЯ РОДИТЕЛЕЙ (ЗАКОННЫХ ПРЕДСТАВИТЕЛЕЙ) ПО СОКРАЩЕНИЮ</w:t>
      </w:r>
    </w:p>
    <w:p>
      <w:pPr>
        <w:pStyle w:val="2"/>
        <w:jc w:val="center"/>
      </w:pPr>
      <w:r>
        <w:rPr>
          <w:sz w:val="20"/>
        </w:rPr>
        <w:t xml:space="preserve">ЭКРАННОГО ВРЕМЕНИ У ДЕТЕЙ &lt;38&gt;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&lt;38&gt; </w:t>
      </w:r>
      <w:hyperlink w:history="0" r:id="rId70" w:tooltip="Федеральный закон от 24.07.1998 N 124-ФЗ (ред. от 28.04.2023) &quot;Об основных гарантиях прав ребенка в Российской Федерации&quot; {КонсультантПлюс}">
        <w:r>
          <w:rPr>
            <w:sz w:val="20"/>
            <w:color w:val="0000ff"/>
          </w:rPr>
          <w:t xml:space="preserve">Статья 1</w:t>
        </w:r>
      </w:hyperlink>
      <w:r>
        <w:rPr>
          <w:sz w:val="20"/>
        </w:rPr>
        <w:t xml:space="preserve"> Федерального закона от 24.07.1998 N 124-ФЗ.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Определите совместно с ребенком количество экранного времени. Рекомендуется установить режим родительского контроля на средствах, оснащенных экраном.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Установите совместно с ребенком цель по сокращению экранного времени.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Не используйте средства, оснащенные экраном, за 60 минут и менее до сна ребенка.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Не располагайте средства, оснащенные экраном, рядом со спальным местом ребенка.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Введите правило не есть перед экраном (монитором). Привычка есть перед экраном может привести к увеличению массы тела. Сделайте место для семейного приема пищи зоной, свободной от средств, оснащенных экраном.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Устраните "фоновый" режим работы средств, оснащенных экраном (например, компьютер, планшет, смартфон, телевизор).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Определите место для средств, оснащенных экраном, куда ребенок будет их класть, когда не использует, чтобы не отвлекать его внимание.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Поощряйте двигательную активность в экранное время (например, во время просмотра видео можно выполнять физические упражнения, танцевать, выбирать видеоигры, поощряющие физическую активность).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Побуждайте ребенка совмещать деятельность за средствами, оснащенными экраном (например, просмотр видео), с физическими занятиями (физическим упражнениями, танцами).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Поощряйте активные видеоигры (например, танцевальные стимуляторы), которые способствуют повышению физической активности во время игры.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Поддерживайте интерес к видам деятельности, которые не связаны со средствами, оснащенными экраном, например, к спорту, музыке, творчеству.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Проводите больше времени в общении, за играми на свежем воздухе, увеличьте физическую активность.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Не используйте средства, оснащенные экраном, в качестве поощрения (например, за хорошее поведение, успеваемость).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Не используйте средства, оснащенные экраном, в целях смены деятельности при перерывах между занятиями.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Будьте примером безопасного использования средств, оснащенными экранами.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БИБЛИОГРАФИЧЕСКИЕ ССЫЛКИ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Федеральный </w:t>
      </w:r>
      <w:hyperlink w:history="0" r:id="rId71" w:tooltip="Федеральный закон от 30.03.1999 N 52-ФЗ (ред. от 24.07.2023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30.03.1999 N 52-ФЗ "О санитарно-эпидемиологическом благополучии населения".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Федеральный </w:t>
      </w:r>
      <w:hyperlink w:history="0" r:id="rId72" w:tooltip="Федеральный закон от 29.12.2012 N 273-ФЗ (ред. от 19.12.2023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29.12.2012 N 273-ФЗ "Об образовании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Федеральный </w:t>
      </w:r>
      <w:hyperlink w:history="0" r:id="rId73" w:tooltip="Федеральный закон от 24.07.1998 N 124-ФЗ (ред. от 28.04.2023) &quot;Об основных гарантиях прав ребенка в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24.07.1998 N 124-ФЗ "Об основных гарантиях прав ребенка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Федеральный </w:t>
      </w:r>
      <w:hyperlink w:history="0" r:id="rId74" w:tooltip="Федеральный закон от 30.12.2020 N 489-ФЗ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30.12.2020 N 489-ФЗ "О молодежной политике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Паспорт национального </w:t>
      </w:r>
      <w:hyperlink w:history="0" r:id="rId75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"Образование", утвержденный президиумом Совета при Президенте Российской Федерации по стратегическому развитию и национальным проектам (протокол от 24.12.2018 N 16).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Технический </w:t>
      </w:r>
      <w:hyperlink w:history="0" r:id="rId76" w:tooltip="Решение Комиссии Таможенного союза от 16.08.2011 N 768 (ред. от 11.05.2023) &quot;О принятии технического регламента Таможенного союза &quot;О безопасности низковольтного оборудования&quot; (вместе с &quot;ТР ТС 004/2011. Технический регламент Таможенного Союза. О безопасности низковольтного оборудования&quot;) {КонсультантПлюс}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Таможенного союза "О безопасности низковольтового оборудования" (ТР ТС 004/2011).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Технический </w:t>
      </w:r>
      <w:hyperlink w:history="0" r:id="rId77" w:tooltip="Решение Комиссии Таможенного союза от 09.12.2011 N 879 (ред. от 10.06.2022) &quot;О принятии технического регламента Таможенного союза &quot;Электромагнитная совместимость технических средств&quot; (вместе с &quot;ТР ТС 020/2011. Технический регламент Таможенного союза. Электромагнитная совместимость технических средств&quot;) {КонсультантПлюс}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Таможенного союза "Электромагнитная совместимость технических средств" (ТР ТС 020/2011).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</w:t>
      </w:r>
      <w:hyperlink w:history="0" r:id="rId78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СП 2.4.3648-20</w:t>
        </w:r>
      </w:hyperlink>
      <w:r>
        <w:rPr>
          <w:sz w:val="20"/>
        </w:rPr>
        <w:t xml:space="preserve"> "Санитарно-эпидемиологические требования к организациям воспитания и обучения, отдыха и оздоровления детей и молодежи".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</w:t>
      </w:r>
      <w:hyperlink w:history="0" r:id="rId79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</w:t>
      </w:r>
      <w:hyperlink w:history="0" r:id="rId80" w:tooltip="Приказ Минпросвещения России N 634, Минцифры России N 925 от 08.09.2021 &quot;Об утверждении стандарта оснащения государственных и муниципальных общеобразовательных организаций, осуществляющих образовательную деятельность в субъектах Российской Федерации, на территории которых проводится эксперимент по внедрению цифровой образовательной среды, компьютерным, мультимедийным, презентационным оборудованием и программным обеспечением&quot; (Зарегистрировано в Минюсте России 16.12.2021 N 6636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России/Минцифры России N 634/925 от 08.09.2021 "Об утверждении стандарта оснащения государственных и муниципальных общеобразовательных организаций, осуществляющих образовательную деятельность в субъектах Российской Федерации, на территории которых проводится эксперимент по внедрению цифровой образовательной среды, компьютерным, мультимедийным, презентационным оборудованием и программным обеспечением".</w:t>
      </w:r>
    </w:p>
    <w:bookmarkStart w:id="539" w:name="P539"/>
    <w:bookmarkEnd w:id="5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Кучма В.Р., Соколова С.Б., Рапопорт И.К., Чубаровский В.В. Влияние поведенческих факторов риска на формирование отклонений в состоянии здоровья обучающихся. Гигиена и санитария. 2022. Т. 101. N 10. С. 1206 - 1213.</w:t>
      </w:r>
    </w:p>
    <w:bookmarkStart w:id="540" w:name="P540"/>
    <w:bookmarkEnd w:id="5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Новикова Е.В., Лавренюк С.Ю. Метод расчета зоны оптимальной видимости при работе с экранами коллективного пользования. Новые технологии. 2011; 3: 104 - 109.</w:t>
      </w:r>
    </w:p>
    <w:bookmarkStart w:id="541" w:name="P541"/>
    <w:bookmarkEnd w:id="5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Tremblay MS, Carson V, Chaput JP, Connor Gorber S, Dinh T, Duggan M, Faulkner G, Gray CE, Gruber R, Janson K, Janssen I, Katzmarzyk PT, Kho ME, Latimer-Cheung AE, LeBlanc C, Okely AD, Olds T, Pate RR, Phillips A, Poitras VJ, Rodenburg S, Sampson M, Saunders TJ, Stone JA, Stratton G, Weiss SK, Zehr L. Canadian 24-Hour Movement Guidelines for Children and Youth: An Integration of Physical Activity, Sedentary Behaviour, and Sleep. Appl Physiol Nutr Metab. 2016 Jun; 41 (6 Suppl 3): 311 - 27. doi: 10.1139/apnm-2016-0151. PMID: 27306437.</w:t>
      </w:r>
    </w:p>
    <w:bookmarkStart w:id="542" w:name="P542"/>
    <w:bookmarkEnd w:id="5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Carson, V., Hunter, S., Kuzik, N., Gray, C.E., Poitras, V.J., Chaput, J.-P., et al. Systematic review of sedentary behaviour and health indicators in school-aged children and youth: an update. Appl. Physiol. Nutr. Metab. 2016. T. 41.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СПРАВОЧНАЯ ИНФОРМАЦИЯ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настоящих МР используются следующие термины и определения: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Дистанционные образовательные технологии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Интерактивная доска - электронное средство обучения коллективного использования в виде большого сенсорного дисплея, являющегося частью системы, в которую входят доска, компьютер и проектор. От компьютера через проектор изображение передается на интерактивную доску.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Интерактивная панель - электронное средство обучения коллективного использования, представляющее собой сенсорный дисплей, работающий на собственном программном обеспечении.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Мобильное средство связи (смартфон) - электронное устройство с сенсорным экраном, объединяющее в себе функции персонального компьютера и мобильного телефона.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Ноутбук - переносной персональный компьютер. Электронное средство обучения индивидуального использования.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Персональный компьютер (стационарная персональная электронно-вычислительная машина, ПК) - техническое средство, способное выполнять множественные арифметические и логические операции на основе заданной программы и данных. Электронное средство обучения индивидуального использования.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Планшет (планшетный компьютер) - переносной персональный компьютер. Электронное средство обучения индивидуального использования.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Смешанное обучение - подход, сочетающий в себе разнообразные форматы очного и дистанционного взаимодействия между обучающимися, педагогом и образовательными ресурсами.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Суточное экранное время - время работы с устройствами, оснащенными экраном, в течение суток.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Цифровая образовательная среда - совокупность условий для реализации образовательных программ с применением электронного обучения, дистанционных образовательных технологий с учетом функционирования информационно-образовательной среды, включающей в себя электронные информационные и образовательные ресурсы и сервисы, цифровой образовательный контент, информационные и телекоммуникационные технологии, технологические средства и обеспечивающей освоение обучающимися образовательных программ в полном объеме независимо от места их проживания.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Электронные средства обучения (ЭСО) - технические средства обучения, основанные на электронном принципе действия, подразделяемые по способу организации процесса обучения на индивидуальные, индивидуально-групповые и коллективные, по степени интерактивности могут быть без обратной связи или с обратной связью, по характеру воздействия на органы чувств классифицируются на визуальные, аудиосредства и аудиовизуальные электронные средства обучения; по способу представления информации подразделяются на экранные, звуковые и экранно-звуковые.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Электронное обучение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"МР 2.4.0330-23. 2.4. Гигиена детей и подростков. Методические рекомендации по обеспечению санитарно-эпидемиологических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16.01.2024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"МР 2.4.0330-23. 2.4. Гигиена детей и подростков. Методические рекомендации по обеспечению санитарно-эпидемиологических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16.01.2024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319308&amp;dst=100586" TargetMode = "External"/>
	<Relationship Id="rId8" Type="http://schemas.openxmlformats.org/officeDocument/2006/relationships/hyperlink" Target="https://login.consultant.ru/link/?req=doc&amp;base=LAW&amp;n=446171&amp;dst=100012" TargetMode = "External"/>
	<Relationship Id="rId9" Type="http://schemas.openxmlformats.org/officeDocument/2006/relationships/hyperlink" Target="https://login.consultant.ru/link/?req=doc&amp;base=LAW&amp;n=372649&amp;dst=100010" TargetMode = "External"/>
	<Relationship Id="rId10" Type="http://schemas.openxmlformats.org/officeDocument/2006/relationships/hyperlink" Target="https://login.consultant.ru/link/?req=doc&amp;base=LAW&amp;n=464877&amp;dst=441" TargetMode = "External"/>
	<Relationship Id="rId11" Type="http://schemas.openxmlformats.org/officeDocument/2006/relationships/hyperlink" Target="https://login.consultant.ru/link/?req=doc&amp;base=LAW&amp;n=452886&amp;dst=128" TargetMode = "External"/>
	<Relationship Id="rId12" Type="http://schemas.openxmlformats.org/officeDocument/2006/relationships/hyperlink" Target="https://login.consultant.ru/link/?req=doc&amp;base=LAW&amp;n=464877&amp;dst=100214" TargetMode = "External"/>
	<Relationship Id="rId13" Type="http://schemas.openxmlformats.org/officeDocument/2006/relationships/hyperlink" Target="https://login.consultant.ru/link/?req=doc&amp;base=LAW&amp;n=371594&amp;dst=100047" TargetMode = "External"/>
	<Relationship Id="rId14" Type="http://schemas.openxmlformats.org/officeDocument/2006/relationships/hyperlink" Target="https://login.consultant.ru/link/?req=doc&amp;base=LAW&amp;n=441707&amp;dst=100137" TargetMode = "External"/>
	<Relationship Id="rId15" Type="http://schemas.openxmlformats.org/officeDocument/2006/relationships/hyperlink" Target="https://login.consultant.ru/link/?req=doc&amp;base=LAW&amp;n=464877&amp;dst=100239" TargetMode = "External"/>
	<Relationship Id="rId16" Type="http://schemas.openxmlformats.org/officeDocument/2006/relationships/hyperlink" Target="https://login.consultant.ru/link/?req=doc&amp;base=LAW&amp;n=464877&amp;dst=557" TargetMode = "External"/>
	<Relationship Id="rId17" Type="http://schemas.openxmlformats.org/officeDocument/2006/relationships/hyperlink" Target="https://login.consultant.ru/link/?req=doc&amp;base=LAW&amp;n=464877&amp;dst=100271" TargetMode = "External"/>
	<Relationship Id="rId18" Type="http://schemas.openxmlformats.org/officeDocument/2006/relationships/hyperlink" Target="https://login.consultant.ru/link/?req=doc&amp;base=LAW&amp;n=371594&amp;dst=100505" TargetMode = "External"/>
	<Relationship Id="rId19" Type="http://schemas.openxmlformats.org/officeDocument/2006/relationships/hyperlink" Target="https://login.consultant.ru/link/?req=doc&amp;base=LAW&amp;n=447027&amp;dst=100022" TargetMode = "External"/>
	<Relationship Id="rId20" Type="http://schemas.openxmlformats.org/officeDocument/2006/relationships/hyperlink" Target="https://login.consultant.ru/link/?req=doc&amp;base=LAW&amp;n=419366&amp;dst=100026" TargetMode = "External"/>
	<Relationship Id="rId21" Type="http://schemas.openxmlformats.org/officeDocument/2006/relationships/hyperlink" Target="https://login.consultant.ru/link/?req=doc&amp;base=LAW&amp;n=462402&amp;dst=7769" TargetMode = "External"/>
	<Relationship Id="rId22" Type="http://schemas.openxmlformats.org/officeDocument/2006/relationships/image" Target="media/image2.png"/>
	<Relationship Id="rId23" Type="http://schemas.openxmlformats.org/officeDocument/2006/relationships/hyperlink" Target="https://login.consultant.ru/link/?req=doc&amp;base=LAW&amp;n=441707&amp;dst=158584" TargetMode = "External"/>
	<Relationship Id="rId24" Type="http://schemas.openxmlformats.org/officeDocument/2006/relationships/hyperlink" Target="https://login.consultant.ru/link/?req=doc&amp;base=LAW&amp;n=441707&amp;dst=158584" TargetMode = "External"/>
	<Relationship Id="rId25" Type="http://schemas.openxmlformats.org/officeDocument/2006/relationships/hyperlink" Target="https://login.consultant.ru/link/?req=doc&amp;base=LAW&amp;n=441707&amp;dst=158727" TargetMode = "External"/>
	<Relationship Id="rId26" Type="http://schemas.openxmlformats.org/officeDocument/2006/relationships/hyperlink" Target="https://login.consultant.ru/link/?req=doc&amp;base=LAW&amp;n=371594&amp;dst=100508" TargetMode = "External"/>
	<Relationship Id="rId27" Type="http://schemas.openxmlformats.org/officeDocument/2006/relationships/hyperlink" Target="https://login.consultant.ru/link/?req=doc&amp;base=LAW&amp;n=464877&amp;dst=100599" TargetMode = "External"/>
	<Relationship Id="rId28" Type="http://schemas.openxmlformats.org/officeDocument/2006/relationships/hyperlink" Target="https://login.consultant.ru/link/?req=doc&amp;base=LAW&amp;n=371594&amp;dst=100510" TargetMode = "External"/>
	<Relationship Id="rId29" Type="http://schemas.openxmlformats.org/officeDocument/2006/relationships/hyperlink" Target="https://login.consultant.ru/link/?req=doc&amp;base=LAW&amp;n=441707&amp;dst=159042" TargetMode = "External"/>
	<Relationship Id="rId30" Type="http://schemas.openxmlformats.org/officeDocument/2006/relationships/hyperlink" Target="https://login.consultant.ru/link/?req=doc&amp;base=LAW&amp;n=371594&amp;dst=100506" TargetMode = "External"/>
	<Relationship Id="rId31" Type="http://schemas.openxmlformats.org/officeDocument/2006/relationships/hyperlink" Target="https://login.consultant.ru/link/?req=doc&amp;base=LAW&amp;n=371594&amp;dst=100511" TargetMode = "External"/>
	<Relationship Id="rId32" Type="http://schemas.openxmlformats.org/officeDocument/2006/relationships/hyperlink" Target="https://login.consultant.ru/link/?req=doc&amp;base=LAW&amp;n=403809&amp;dst=100174" TargetMode = "External"/>
	<Relationship Id="rId33" Type="http://schemas.openxmlformats.org/officeDocument/2006/relationships/hyperlink" Target="https://login.consultant.ru/link/?req=doc&amp;base=LAW&amp;n=441707&amp;dst=158584" TargetMode = "External"/>
	<Relationship Id="rId34" Type="http://schemas.openxmlformats.org/officeDocument/2006/relationships/hyperlink" Target="https://login.consultant.ru/link/?req=doc&amp;base=LAW&amp;n=441707&amp;dst=159043" TargetMode = "External"/>
	<Relationship Id="rId35" Type="http://schemas.openxmlformats.org/officeDocument/2006/relationships/hyperlink" Target="https://login.consultant.ru/link/?req=doc&amp;base=LAW&amp;n=441707&amp;dst=159041" TargetMode = "External"/>
	<Relationship Id="rId36" Type="http://schemas.openxmlformats.org/officeDocument/2006/relationships/hyperlink" Target="https://login.consultant.ru/link/?req=doc&amp;base=LAW&amp;n=371594&amp;dst=100507" TargetMode = "External"/>
	<Relationship Id="rId37" Type="http://schemas.openxmlformats.org/officeDocument/2006/relationships/hyperlink" Target="https://login.consultant.ru/link/?req=doc&amp;base=LAW&amp;n=441707&amp;dst=158726" TargetMode = "External"/>
	<Relationship Id="rId38" Type="http://schemas.openxmlformats.org/officeDocument/2006/relationships/hyperlink" Target="https://login.consultant.ru/link/?req=doc&amp;base=LAW&amp;n=441707&amp;dst=160865" TargetMode = "External"/>
	<Relationship Id="rId39" Type="http://schemas.openxmlformats.org/officeDocument/2006/relationships/hyperlink" Target="https://login.consultant.ru/link/?req=doc&amp;base=LAW&amp;n=441707&amp;dst=160873" TargetMode = "External"/>
	<Relationship Id="rId40" Type="http://schemas.openxmlformats.org/officeDocument/2006/relationships/hyperlink" Target="https://login.consultant.ru/link/?req=doc&amp;base=LAW&amp;n=371594&amp;dst=100519" TargetMode = "External"/>
	<Relationship Id="rId41" Type="http://schemas.openxmlformats.org/officeDocument/2006/relationships/hyperlink" Target="https://login.consultant.ru/link/?req=doc&amp;base=LAW&amp;n=441707&amp;dst=158727" TargetMode = "External"/>
	<Relationship Id="rId42" Type="http://schemas.openxmlformats.org/officeDocument/2006/relationships/hyperlink" Target="https://login.consultant.ru/link/?req=doc&amp;base=LAW&amp;n=441707&amp;dst=159042" TargetMode = "External"/>
	<Relationship Id="rId43" Type="http://schemas.openxmlformats.org/officeDocument/2006/relationships/hyperlink" Target="https://login.consultant.ru/link/?req=doc&amp;base=LAW&amp;n=371594&amp;dst=100510" TargetMode = "External"/>
	<Relationship Id="rId44" Type="http://schemas.openxmlformats.org/officeDocument/2006/relationships/hyperlink" Target="https://login.consultant.ru/link/?req=doc&amp;base=LAW&amp;n=441707&amp;dst=159347" TargetMode = "External"/>
	<Relationship Id="rId45" Type="http://schemas.openxmlformats.org/officeDocument/2006/relationships/hyperlink" Target="https://login.consultant.ru/link/?req=doc&amp;base=LAW&amp;n=371594&amp;dst=100285" TargetMode = "External"/>
	<Relationship Id="rId46" Type="http://schemas.openxmlformats.org/officeDocument/2006/relationships/hyperlink" Target="https://login.consultant.ru/link/?req=doc&amp;base=LAW&amp;n=371594&amp;dst=100291" TargetMode = "External"/>
	<Relationship Id="rId47" Type="http://schemas.openxmlformats.org/officeDocument/2006/relationships/hyperlink" Target="https://login.consultant.ru/link/?req=doc&amp;base=LAW&amp;n=371594&amp;dst=100505" TargetMode = "External"/>
	<Relationship Id="rId48" Type="http://schemas.openxmlformats.org/officeDocument/2006/relationships/hyperlink" Target="https://login.consultant.ru/link/?req=doc&amp;base=LAW&amp;n=441707&amp;dst=150522" TargetMode = "External"/>
	<Relationship Id="rId49" Type="http://schemas.openxmlformats.org/officeDocument/2006/relationships/hyperlink" Target="https://login.consultant.ru/link/?req=doc&amp;base=LAW&amp;n=441707&amp;dst=158805" TargetMode = "External"/>
	<Relationship Id="rId50" Type="http://schemas.openxmlformats.org/officeDocument/2006/relationships/hyperlink" Target="https://login.consultant.ru/link/?req=doc&amp;base=LAW&amp;n=441707&amp;dst=159161" TargetMode = "External"/>
	<Relationship Id="rId51" Type="http://schemas.openxmlformats.org/officeDocument/2006/relationships/hyperlink" Target="https://login.consultant.ru/link/?req=doc&amp;base=LAW&amp;n=441707&amp;dst=159321" TargetMode = "External"/>
	<Relationship Id="rId52" Type="http://schemas.openxmlformats.org/officeDocument/2006/relationships/hyperlink" Target="https://login.consultant.ru/link/?req=doc&amp;base=LAW&amp;n=371594&amp;dst=100518" TargetMode = "External"/>
	<Relationship Id="rId53" Type="http://schemas.openxmlformats.org/officeDocument/2006/relationships/hyperlink" Target="https://login.consultant.ru/link/?req=doc&amp;base=LAW&amp;n=441707&amp;dst=159043" TargetMode = "External"/>
	<Relationship Id="rId54" Type="http://schemas.openxmlformats.org/officeDocument/2006/relationships/hyperlink" Target="https://login.consultant.ru/link/?req=doc&amp;base=LAW&amp;n=441707&amp;dst=158987" TargetMode = "External"/>
	<Relationship Id="rId55" Type="http://schemas.openxmlformats.org/officeDocument/2006/relationships/header" Target="header2.xml"/>
	<Relationship Id="rId56" Type="http://schemas.openxmlformats.org/officeDocument/2006/relationships/footer" Target="footer2.xml"/>
	<Relationship Id="rId57" Type="http://schemas.openxmlformats.org/officeDocument/2006/relationships/hyperlink" Target="https://login.consultant.ru/link/?req=doc&amp;base=LAW&amp;n=447027&amp;dst=100022" TargetMode = "External"/>
	<Relationship Id="rId58" Type="http://schemas.openxmlformats.org/officeDocument/2006/relationships/hyperlink" Target="https://login.consultant.ru/link/?req=doc&amp;base=LAW&amp;n=419366&amp;dst=100026" TargetMode = "External"/>
	<Relationship Id="rId59" Type="http://schemas.openxmlformats.org/officeDocument/2006/relationships/hyperlink" Target="https://login.consultant.ru/link/?req=doc&amp;base=LAW&amp;n=441707&amp;dst=158727" TargetMode = "External"/>
	<Relationship Id="rId60" Type="http://schemas.openxmlformats.org/officeDocument/2006/relationships/hyperlink" Target="https://login.consultant.ru/link/?req=doc&amp;base=LAW&amp;n=441707&amp;dst=158727" TargetMode = "External"/>
	<Relationship Id="rId61" Type="http://schemas.openxmlformats.org/officeDocument/2006/relationships/hyperlink" Target="https://login.consultant.ru/link/?req=doc&amp;base=LAW&amp;n=441707&amp;dst=159042" TargetMode = "External"/>
	<Relationship Id="rId62" Type="http://schemas.openxmlformats.org/officeDocument/2006/relationships/hyperlink" Target="https://login.consultant.ru/link/?req=doc&amp;base=LAW&amp;n=371594&amp;dst=100510" TargetMode = "External"/>
	<Relationship Id="rId63" Type="http://schemas.openxmlformats.org/officeDocument/2006/relationships/image" Target="media/image3.png"/>
	<Relationship Id="rId64" Type="http://schemas.openxmlformats.org/officeDocument/2006/relationships/image" Target="media/image4.png"/>
	<Relationship Id="rId65" Type="http://schemas.openxmlformats.org/officeDocument/2006/relationships/image" Target="media/image5.png"/>
	<Relationship Id="rId66" Type="http://schemas.openxmlformats.org/officeDocument/2006/relationships/image" Target="media/image6.png"/>
	<Relationship Id="rId67" Type="http://schemas.openxmlformats.org/officeDocument/2006/relationships/image" Target="media/image7.png"/>
	<Relationship Id="rId68" Type="http://schemas.openxmlformats.org/officeDocument/2006/relationships/image" Target="media/image8.png"/>
	<Relationship Id="rId69" Type="http://schemas.openxmlformats.org/officeDocument/2006/relationships/hyperlink" Target="https://login.consultant.ru/link/?req=doc&amp;base=LAW&amp;n=441707&amp;dst=159043" TargetMode = "External"/>
	<Relationship Id="rId70" Type="http://schemas.openxmlformats.org/officeDocument/2006/relationships/hyperlink" Target="https://login.consultant.ru/link/?req=doc&amp;base=LAW&amp;n=446171&amp;dst=100012" TargetMode = "External"/>
	<Relationship Id="rId71" Type="http://schemas.openxmlformats.org/officeDocument/2006/relationships/hyperlink" Target="https://login.consultant.ru/link/?req=doc&amp;base=LAW&amp;n=452886&amp;dst=232" TargetMode = "External"/>
	<Relationship Id="rId72" Type="http://schemas.openxmlformats.org/officeDocument/2006/relationships/hyperlink" Target="https://login.consultant.ru/link/?req=doc&amp;base=LAW&amp;n=464877&amp;dst=100239" TargetMode = "External"/>
	<Relationship Id="rId73" Type="http://schemas.openxmlformats.org/officeDocument/2006/relationships/hyperlink" Target="https://login.consultant.ru/link/?req=doc&amp;base=LAW&amp;n=446171&amp;dst=89" TargetMode = "External"/>
	<Relationship Id="rId74" Type="http://schemas.openxmlformats.org/officeDocument/2006/relationships/hyperlink" Target="https://login.consultant.ru/link/?req=doc&amp;base=LAW&amp;n=372649" TargetMode = "External"/>
	<Relationship Id="rId75" Type="http://schemas.openxmlformats.org/officeDocument/2006/relationships/hyperlink" Target="https://login.consultant.ru/link/?req=doc&amp;base=LAW&amp;n=319308" TargetMode = "External"/>
	<Relationship Id="rId76" Type="http://schemas.openxmlformats.org/officeDocument/2006/relationships/hyperlink" Target="https://login.consultant.ru/link/?req=doc&amp;base=LAW&amp;n=447027&amp;dst=100022" TargetMode = "External"/>
	<Relationship Id="rId77" Type="http://schemas.openxmlformats.org/officeDocument/2006/relationships/hyperlink" Target="https://login.consultant.ru/link/?req=doc&amp;base=LAW&amp;n=419366&amp;dst=100026" TargetMode = "External"/>
	<Relationship Id="rId78" Type="http://schemas.openxmlformats.org/officeDocument/2006/relationships/hyperlink" Target="https://login.consultant.ru/link/?req=doc&amp;base=LAW&amp;n=371594&amp;dst=100505" TargetMode = "External"/>
	<Relationship Id="rId79" Type="http://schemas.openxmlformats.org/officeDocument/2006/relationships/hyperlink" Target="https://login.consultant.ru/link/?req=doc&amp;base=LAW&amp;n=441707&amp;dst=158352" TargetMode = "External"/>
	<Relationship Id="rId80" Type="http://schemas.openxmlformats.org/officeDocument/2006/relationships/hyperlink" Target="https://login.consultant.ru/link/?req=doc&amp;base=LAW&amp;n=403809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"МР 2.4.0330-23. 2.4. Гигиена детей и подростков. Методические рекомендации по обеспечению санитарно-эпидемиологических требований при реализации образовательных программ с применением электронного обучения и дистанционных образовательных технологий. Методические рекомендации"
(утв. Главным государственным санитарным врачом РФ 29.08.2023)
(вместе с "Рекомендациями для родителей (законных представителей) по сокращению экранного времени у детей")</dc:title>
  <dcterms:created xsi:type="dcterms:W3CDTF">2024-01-16T07:45:36Z</dcterms:created>
</cp:coreProperties>
</file>