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Россий</w:t>
            </w:r>
            <w:proofErr w:type="spellEnd"/>
            <w:r>
              <w:rPr>
                <w:szCs w:val="20"/>
              </w:rPr>
              <w:t xml:space="preserve"> Федераций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Марий Эл Республика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Параньга муниципальный район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79" w:type="dxa"/>
          </w:tcPr>
          <w:p w:rsidR="0036609F" w:rsidRDefault="005D3EE8" w:rsidP="001A6037">
            <w:pPr>
              <w:spacing w:line="20" w:lineRule="atLeast"/>
              <w:jc w:val="center"/>
              <w:rPr>
                <w:szCs w:val="20"/>
              </w:rPr>
            </w:pPr>
            <w:r w:rsidRPr="005D3EE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60288;mso-position-horizontal-relative:text;mso-position-vertical-relative:text" o:connectortype="straight"/>
              </w:pict>
            </w:r>
            <w:r w:rsidR="0036609F">
              <w:rPr>
                <w:szCs w:val="20"/>
              </w:rPr>
              <w:t>Российская Федерация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Республика Марий Эл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Параньгинский</w:t>
            </w:r>
            <w:proofErr w:type="spellEnd"/>
            <w:r>
              <w:rPr>
                <w:szCs w:val="20"/>
              </w:rPr>
              <w:t xml:space="preserve"> муниципальный район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МАРИЙ ЭЛ РЕСПУБЛИК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МУНИЦИПАЛ РАЙОНЫН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ОЛА ШОТАН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 АДМИНИСТРАЦИЙЖЕ</w:t>
            </w:r>
          </w:p>
          <w:p w:rsidR="0036609F" w:rsidRDefault="0036609F" w:rsidP="001A6037">
            <w:pPr>
              <w:spacing w:line="340" w:lineRule="atLeast"/>
              <w:jc w:val="center"/>
              <w:rPr>
                <w:spacing w:val="6"/>
                <w:szCs w:val="20"/>
              </w:rPr>
            </w:pPr>
          </w:p>
        </w:tc>
        <w:tc>
          <w:tcPr>
            <w:tcW w:w="4779" w:type="dxa"/>
          </w:tcPr>
          <w:p w:rsidR="0036609F" w:rsidRPr="00811A3C" w:rsidRDefault="0036609F" w:rsidP="001A6037">
            <w:pPr>
              <w:jc w:val="center"/>
              <w:rPr>
                <w:caps/>
                <w:spacing w:val="6"/>
                <w:sz w:val="18"/>
                <w:szCs w:val="18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36609F" w:rsidRDefault="0036609F" w:rsidP="001A6037">
            <w:pPr>
              <w:jc w:val="center"/>
              <w:rPr>
                <w:caps/>
                <w:spacing w:val="6"/>
                <w:szCs w:val="20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 Параньга,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</w:tbl>
    <w:p w:rsidR="0036609F" w:rsidRDefault="005D3EE8" w:rsidP="0036609F">
      <w:pPr>
        <w:jc w:val="center"/>
        <w:rPr>
          <w:sz w:val="28"/>
          <w:szCs w:val="28"/>
        </w:rPr>
      </w:pPr>
      <w:r w:rsidRPr="005D3EE8"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F10C00" w:rsidRPr="003447C2" w:rsidRDefault="0036609F" w:rsidP="00B66F9C">
      <w:pPr>
        <w:tabs>
          <w:tab w:val="left" w:pos="4395"/>
          <w:tab w:val="left" w:pos="4830"/>
          <w:tab w:val="left" w:pos="567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ПУНЧАЛ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F10C00" w:rsidRDefault="00F10C00" w:rsidP="00F10C00">
      <w:pPr>
        <w:pStyle w:val="3"/>
        <w:numPr>
          <w:ilvl w:val="2"/>
          <w:numId w:val="0"/>
        </w:numPr>
        <w:tabs>
          <w:tab w:val="num" w:pos="227"/>
          <w:tab w:val="num" w:pos="1080"/>
        </w:tabs>
        <w:jc w:val="center"/>
        <w:rPr>
          <w:bCs/>
          <w:sz w:val="28"/>
          <w:szCs w:val="28"/>
        </w:rPr>
      </w:pPr>
    </w:p>
    <w:p w:rsidR="00F10C00" w:rsidRPr="00D41BDA" w:rsidRDefault="00F10C00" w:rsidP="00F10C00">
      <w:pPr>
        <w:pStyle w:val="3"/>
        <w:numPr>
          <w:ilvl w:val="2"/>
          <w:numId w:val="0"/>
        </w:numPr>
        <w:tabs>
          <w:tab w:val="num" w:pos="227"/>
          <w:tab w:val="num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66F9C">
        <w:rPr>
          <w:bCs/>
          <w:sz w:val="28"/>
          <w:szCs w:val="28"/>
        </w:rPr>
        <w:t xml:space="preserve">от </w:t>
      </w:r>
      <w:r w:rsidR="00253610">
        <w:rPr>
          <w:bCs/>
          <w:sz w:val="28"/>
          <w:szCs w:val="28"/>
        </w:rPr>
        <w:t>18</w:t>
      </w:r>
      <w:r w:rsidR="007B488B">
        <w:rPr>
          <w:bCs/>
          <w:sz w:val="28"/>
          <w:szCs w:val="28"/>
        </w:rPr>
        <w:t xml:space="preserve"> апреля</w:t>
      </w:r>
      <w:r>
        <w:rPr>
          <w:bCs/>
          <w:sz w:val="28"/>
          <w:szCs w:val="28"/>
        </w:rPr>
        <w:t xml:space="preserve"> </w:t>
      </w:r>
      <w:r w:rsidR="007B488B">
        <w:rPr>
          <w:bCs/>
          <w:sz w:val="28"/>
          <w:szCs w:val="28"/>
        </w:rPr>
        <w:t>2023</w:t>
      </w:r>
      <w:r w:rsidRPr="00053EDB">
        <w:rPr>
          <w:bCs/>
          <w:sz w:val="28"/>
          <w:szCs w:val="28"/>
        </w:rPr>
        <w:t xml:space="preserve"> года</w:t>
      </w:r>
      <w:r w:rsidR="00B66F9C">
        <w:rPr>
          <w:sz w:val="28"/>
          <w:szCs w:val="28"/>
        </w:rPr>
        <w:t xml:space="preserve">                                </w:t>
      </w:r>
      <w:r w:rsidRPr="00053E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053EDB">
        <w:rPr>
          <w:bCs/>
          <w:sz w:val="28"/>
          <w:szCs w:val="28"/>
        </w:rPr>
        <w:t xml:space="preserve">№ </w:t>
      </w:r>
      <w:r w:rsidR="00D41BDA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Pr="00053EDB">
        <w:rPr>
          <w:bCs/>
          <w:sz w:val="28"/>
          <w:szCs w:val="28"/>
        </w:rPr>
        <w:t>-П</w:t>
      </w:r>
    </w:p>
    <w:p w:rsidR="00F10C00" w:rsidRDefault="00F10C00" w:rsidP="00F10C00">
      <w:pPr>
        <w:pStyle w:val="3"/>
        <w:numPr>
          <w:ilvl w:val="2"/>
          <w:numId w:val="0"/>
        </w:numPr>
        <w:tabs>
          <w:tab w:val="num" w:pos="227"/>
          <w:tab w:val="num" w:pos="1080"/>
        </w:tabs>
        <w:jc w:val="center"/>
        <w:rPr>
          <w:bCs/>
          <w:sz w:val="28"/>
          <w:szCs w:val="28"/>
        </w:rPr>
      </w:pPr>
    </w:p>
    <w:p w:rsidR="00F10C00" w:rsidRPr="00053EDB" w:rsidRDefault="00F10C00" w:rsidP="00F10C00">
      <w:pPr>
        <w:pStyle w:val="3"/>
        <w:numPr>
          <w:ilvl w:val="2"/>
          <w:numId w:val="0"/>
        </w:numPr>
        <w:tabs>
          <w:tab w:val="num" w:pos="227"/>
          <w:tab w:val="num" w:pos="1080"/>
        </w:tabs>
        <w:jc w:val="center"/>
        <w:rPr>
          <w:sz w:val="28"/>
          <w:szCs w:val="28"/>
        </w:rPr>
      </w:pPr>
    </w:p>
    <w:p w:rsidR="00253610" w:rsidRDefault="00253610" w:rsidP="0025361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мероприятий («дорожной карте»)</w:t>
      </w:r>
    </w:p>
    <w:p w:rsidR="00253610" w:rsidRDefault="00253610" w:rsidP="00253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образования, погашению (реструктуризации) просроченной кредиторской задолженности по бюджетным обязательствам</w:t>
      </w:r>
    </w:p>
    <w:p w:rsidR="00253610" w:rsidRDefault="00253610" w:rsidP="002536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Параньга</w:t>
      </w:r>
    </w:p>
    <w:p w:rsidR="00253610" w:rsidRDefault="00253610" w:rsidP="002536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53610" w:rsidRDefault="00253610" w:rsidP="00253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253610" w:rsidRDefault="00253610" w:rsidP="00253610">
      <w:pPr>
        <w:jc w:val="center"/>
        <w:rPr>
          <w:sz w:val="28"/>
          <w:szCs w:val="28"/>
        </w:rPr>
      </w:pPr>
    </w:p>
    <w:p w:rsidR="00253610" w:rsidRDefault="00253610" w:rsidP="00253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610" w:rsidRDefault="00253610" w:rsidP="00253610">
      <w:pPr>
        <w:jc w:val="both"/>
        <w:rPr>
          <w:sz w:val="28"/>
          <w:szCs w:val="28"/>
        </w:rPr>
      </w:pPr>
    </w:p>
    <w:p w:rsidR="00253610" w:rsidRPr="00253610" w:rsidRDefault="00253610" w:rsidP="00253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610">
        <w:rPr>
          <w:sz w:val="28"/>
          <w:szCs w:val="28"/>
        </w:rPr>
        <w:t xml:space="preserve">Во  исполнение Распоряжения Правительства Республики Марий Эл                   от 31 марта 2023 года № 283-р «О плане мероприятий («дорожной карте»)                         по предупреждению образования, погашению (реструктуризации) просроченной кредиторской задолженности по бюджетным обязательствам Республики Марий Эл» и в целях предупреждения образования просроченной кредиторской задолженности по бюджетным обязательствам Городского поселения Параньга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 Республики Марий Эл и принятия мер по погашению (реструктуризации) указанной задолженности в случае ее образования, администрация Городского поселения Параньга 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 постановляет:</w:t>
      </w:r>
    </w:p>
    <w:p w:rsidR="00253610" w:rsidRPr="00253610" w:rsidRDefault="00253610" w:rsidP="00253610">
      <w:pPr>
        <w:ind w:firstLine="708"/>
        <w:jc w:val="both"/>
        <w:rPr>
          <w:sz w:val="28"/>
          <w:szCs w:val="28"/>
        </w:rPr>
      </w:pPr>
      <w:r w:rsidRPr="00253610">
        <w:rPr>
          <w:sz w:val="28"/>
          <w:szCs w:val="28"/>
        </w:rPr>
        <w:t xml:space="preserve">1.Утвердить прилагаемый план мероприятий («дорожную карту»)                     по  предупреждению образования, погашению (реструктуризации) просроченной кредиторской задолженности по бюджетным обязательствам Городского поселения Параньга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 Республики Марий Э</w:t>
      </w:r>
      <w:proofErr w:type="gramStart"/>
      <w:r w:rsidRPr="00253610">
        <w:rPr>
          <w:sz w:val="28"/>
          <w:szCs w:val="28"/>
        </w:rPr>
        <w:t>л(</w:t>
      </w:r>
      <w:proofErr w:type="gramEnd"/>
      <w:r w:rsidRPr="00253610">
        <w:rPr>
          <w:sz w:val="28"/>
          <w:szCs w:val="28"/>
        </w:rPr>
        <w:t>далее – «дорожная карта»).</w:t>
      </w:r>
    </w:p>
    <w:p w:rsidR="00253610" w:rsidRPr="00253610" w:rsidRDefault="00253610" w:rsidP="00253610">
      <w:pPr>
        <w:ind w:firstLine="708"/>
        <w:jc w:val="both"/>
        <w:rPr>
          <w:sz w:val="28"/>
          <w:szCs w:val="28"/>
        </w:rPr>
      </w:pPr>
      <w:r w:rsidRPr="00253610">
        <w:rPr>
          <w:sz w:val="28"/>
          <w:szCs w:val="28"/>
        </w:rPr>
        <w:t>2. Установить значения целевого показателя по снижению (</w:t>
      </w:r>
      <w:proofErr w:type="spellStart"/>
      <w:r w:rsidRPr="00253610">
        <w:rPr>
          <w:sz w:val="28"/>
          <w:szCs w:val="28"/>
        </w:rPr>
        <w:t>неувеличению</w:t>
      </w:r>
      <w:proofErr w:type="spellEnd"/>
      <w:r w:rsidRPr="00253610">
        <w:rPr>
          <w:sz w:val="28"/>
          <w:szCs w:val="28"/>
        </w:rPr>
        <w:t xml:space="preserve">) просроченной кредиторской задолженности по бюджетным </w:t>
      </w:r>
      <w:r w:rsidRPr="00253610">
        <w:rPr>
          <w:sz w:val="28"/>
          <w:szCs w:val="28"/>
        </w:rPr>
        <w:lastRenderedPageBreak/>
        <w:t xml:space="preserve">обязательствам Городского поселения Параньга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 Республики Марий Эл согласно приложению.</w:t>
      </w:r>
    </w:p>
    <w:p w:rsidR="00253610" w:rsidRPr="00253610" w:rsidRDefault="00253610" w:rsidP="00253610">
      <w:pPr>
        <w:ind w:firstLine="708"/>
        <w:jc w:val="both"/>
        <w:rPr>
          <w:sz w:val="28"/>
          <w:szCs w:val="28"/>
        </w:rPr>
      </w:pPr>
      <w:r w:rsidRPr="00253610">
        <w:rPr>
          <w:sz w:val="28"/>
          <w:szCs w:val="28"/>
        </w:rPr>
        <w:t xml:space="preserve">3. Главным распорядителям средств бюджета Городского поселения Параньга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района:</w:t>
      </w:r>
    </w:p>
    <w:p w:rsidR="00253610" w:rsidRPr="00253610" w:rsidRDefault="00253610" w:rsidP="00253610">
      <w:pPr>
        <w:ind w:firstLine="708"/>
        <w:jc w:val="both"/>
        <w:rPr>
          <w:sz w:val="28"/>
          <w:szCs w:val="28"/>
        </w:rPr>
      </w:pPr>
      <w:r w:rsidRPr="00253610">
        <w:rPr>
          <w:sz w:val="28"/>
          <w:szCs w:val="28"/>
        </w:rPr>
        <w:t>организовать и обеспечить выполнение мероприятий «дорожной карты»;</w:t>
      </w:r>
    </w:p>
    <w:p w:rsidR="00253610" w:rsidRDefault="00253610" w:rsidP="00253610">
      <w:pPr>
        <w:ind w:firstLine="708"/>
        <w:jc w:val="both"/>
        <w:rPr>
          <w:sz w:val="28"/>
          <w:szCs w:val="28"/>
        </w:rPr>
      </w:pPr>
      <w:r w:rsidRPr="00253610">
        <w:rPr>
          <w:sz w:val="28"/>
          <w:szCs w:val="28"/>
        </w:rPr>
        <w:t xml:space="preserve">в случае наличия по состоянию на 1-е число месяца, следующего                                за отчетным,  просроченной кредиторской задолженности бюджета Городского поселения Параньга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района,  источником финансового </w:t>
      </w:r>
      <w:proofErr w:type="gramStart"/>
      <w:r w:rsidRPr="00253610">
        <w:rPr>
          <w:sz w:val="28"/>
          <w:szCs w:val="28"/>
        </w:rPr>
        <w:t>обеспечения</w:t>
      </w:r>
      <w:proofErr w:type="gramEnd"/>
      <w:r w:rsidRPr="00253610">
        <w:rPr>
          <w:sz w:val="28"/>
          <w:szCs w:val="28"/>
        </w:rPr>
        <w:t xml:space="preserve"> деятельности которых являются средства бюджета Городского поселения Параньга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 (за исключением иных источников финансирования), представлять в Финансовое управление администрации </w:t>
      </w:r>
      <w:proofErr w:type="spellStart"/>
      <w:r w:rsidRPr="00253610">
        <w:rPr>
          <w:sz w:val="28"/>
          <w:szCs w:val="28"/>
        </w:rPr>
        <w:t>Параньгинского</w:t>
      </w:r>
      <w:proofErr w:type="spellEnd"/>
      <w:r w:rsidRPr="00253610">
        <w:rPr>
          <w:sz w:val="28"/>
          <w:szCs w:val="28"/>
        </w:rPr>
        <w:t xml:space="preserve"> муниципального района информацию о причинах</w:t>
      </w:r>
      <w:r>
        <w:rPr>
          <w:sz w:val="28"/>
          <w:szCs w:val="28"/>
        </w:rPr>
        <w:t xml:space="preserve"> образования указанной  просроченной задолженности и принятых мерах по ее погашению ежемесячно, в срок до 15-го числа,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до полного погашения указанной просроченной задолженности.</w:t>
      </w:r>
    </w:p>
    <w:p w:rsidR="00F10C00" w:rsidRPr="00E555DF" w:rsidRDefault="00253610" w:rsidP="00F10C00">
      <w:pPr>
        <w:tabs>
          <w:tab w:val="left" w:pos="8931"/>
        </w:tabs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F10C00" w:rsidRPr="00E555DF">
        <w:rPr>
          <w:sz w:val="28"/>
          <w:szCs w:val="28"/>
        </w:rPr>
        <w:t xml:space="preserve">.  </w:t>
      </w:r>
      <w:proofErr w:type="gramStart"/>
      <w:r w:rsidR="00F10C00" w:rsidRPr="00E555DF">
        <w:rPr>
          <w:sz w:val="28"/>
          <w:szCs w:val="28"/>
        </w:rPr>
        <w:t>Контроль за</w:t>
      </w:r>
      <w:proofErr w:type="gramEnd"/>
      <w:r w:rsidR="00F10C00" w:rsidRPr="00E555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0C00" w:rsidRPr="00931AE4" w:rsidRDefault="00F10C00" w:rsidP="00F10C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00" w:rsidRPr="00931AE4" w:rsidRDefault="00F10C00" w:rsidP="00F10C00">
      <w:pPr>
        <w:pStyle w:val="a4"/>
        <w:rPr>
          <w:sz w:val="28"/>
          <w:szCs w:val="28"/>
        </w:rPr>
      </w:pPr>
    </w:p>
    <w:p w:rsidR="00F10C00" w:rsidRDefault="00F10C00" w:rsidP="00F10C00">
      <w:pPr>
        <w:pStyle w:val="a4"/>
        <w:rPr>
          <w:sz w:val="28"/>
          <w:szCs w:val="28"/>
        </w:rPr>
      </w:pPr>
      <w:r w:rsidRPr="00931AE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Параньгинской</w:t>
      </w:r>
      <w:proofErr w:type="spellEnd"/>
      <w:r>
        <w:rPr>
          <w:sz w:val="28"/>
          <w:szCs w:val="28"/>
        </w:rPr>
        <w:t xml:space="preserve"> </w:t>
      </w:r>
    </w:p>
    <w:p w:rsidR="00F10C00" w:rsidRPr="00931AE4" w:rsidRDefault="00F10C00" w:rsidP="00F10C0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Pr="00931AE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</w:t>
      </w:r>
      <w:r w:rsidRPr="00931A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К.К.Ахматгараев</w:t>
      </w:r>
      <w:proofErr w:type="spellEnd"/>
    </w:p>
    <w:p w:rsidR="00F10C00" w:rsidRPr="00931AE4" w:rsidRDefault="00F10C00" w:rsidP="00F10C00">
      <w:pPr>
        <w:rPr>
          <w:sz w:val="28"/>
          <w:szCs w:val="28"/>
        </w:rPr>
      </w:pPr>
      <w:r w:rsidRPr="00931AE4">
        <w:rPr>
          <w:sz w:val="28"/>
          <w:szCs w:val="28"/>
        </w:rPr>
        <w:t xml:space="preserve"> </w:t>
      </w:r>
    </w:p>
    <w:p w:rsidR="00F10C00" w:rsidRDefault="00F10C00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/>
    <w:p w:rsidR="00495049" w:rsidRDefault="00495049" w:rsidP="00495049">
      <w:pPr>
        <w:jc w:val="center"/>
      </w:pPr>
      <w:r>
        <w:lastRenderedPageBreak/>
        <w:t xml:space="preserve">                                                                                                    УТВЕРЖДЕН</w:t>
      </w:r>
    </w:p>
    <w:p w:rsidR="00495049" w:rsidRDefault="00495049" w:rsidP="00495049">
      <w:pPr>
        <w:ind w:left="6163"/>
        <w:jc w:val="center"/>
      </w:pPr>
      <w:r>
        <w:t xml:space="preserve">постановлением администрации </w:t>
      </w:r>
    </w:p>
    <w:p w:rsidR="00495049" w:rsidRDefault="00495049" w:rsidP="00495049">
      <w:pPr>
        <w:ind w:left="6163"/>
        <w:jc w:val="center"/>
      </w:pPr>
      <w:r>
        <w:t xml:space="preserve">Городского поселения Параньга        </w:t>
      </w:r>
    </w:p>
    <w:p w:rsidR="00495049" w:rsidRDefault="00495049" w:rsidP="00495049">
      <w:pPr>
        <w:ind w:left="6163"/>
        <w:jc w:val="center"/>
      </w:pPr>
      <w:proofErr w:type="spellStart"/>
      <w:r>
        <w:t>Параньгинского</w:t>
      </w:r>
      <w:proofErr w:type="spellEnd"/>
      <w:r>
        <w:t xml:space="preserve"> муниципального </w:t>
      </w:r>
    </w:p>
    <w:p w:rsidR="00495049" w:rsidRDefault="00495049" w:rsidP="00495049">
      <w:pPr>
        <w:ind w:left="6163"/>
        <w:jc w:val="center"/>
      </w:pPr>
      <w:r>
        <w:t>района Республики Марий Эл</w:t>
      </w:r>
    </w:p>
    <w:p w:rsidR="00495049" w:rsidRDefault="00495049" w:rsidP="00495049">
      <w:pPr>
        <w:ind w:left="6163"/>
        <w:jc w:val="center"/>
      </w:pPr>
      <w:r>
        <w:t>от 18 апреля 2023г. № 39-П</w:t>
      </w:r>
    </w:p>
    <w:p w:rsidR="00495049" w:rsidRPr="00E45ABF" w:rsidRDefault="00495049" w:rsidP="00495049">
      <w:pPr>
        <w:jc w:val="center"/>
        <w:rPr>
          <w:sz w:val="28"/>
          <w:szCs w:val="28"/>
        </w:rPr>
      </w:pPr>
    </w:p>
    <w:p w:rsidR="00495049" w:rsidRDefault="00495049" w:rsidP="00495049">
      <w:pPr>
        <w:jc w:val="center"/>
        <w:rPr>
          <w:sz w:val="28"/>
          <w:szCs w:val="28"/>
        </w:rPr>
      </w:pPr>
      <w:proofErr w:type="gramStart"/>
      <w:r w:rsidRPr="00E45ABF">
        <w:rPr>
          <w:sz w:val="28"/>
          <w:szCs w:val="28"/>
        </w:rPr>
        <w:t>П</w:t>
      </w:r>
      <w:proofErr w:type="gramEnd"/>
      <w:r w:rsidRPr="00E45ABF">
        <w:rPr>
          <w:sz w:val="28"/>
          <w:szCs w:val="28"/>
        </w:rPr>
        <w:t xml:space="preserve"> Л А Н</w:t>
      </w:r>
    </w:p>
    <w:p w:rsidR="00495049" w:rsidRPr="00495049" w:rsidRDefault="00495049" w:rsidP="00495049">
      <w:pPr>
        <w:jc w:val="center"/>
        <w:rPr>
          <w:sz w:val="28"/>
          <w:szCs w:val="28"/>
        </w:rPr>
      </w:pPr>
      <w:r w:rsidRPr="007331C8">
        <w:rPr>
          <w:sz w:val="28"/>
          <w:szCs w:val="28"/>
        </w:rPr>
        <w:t>мероприятий («дорожн</w:t>
      </w:r>
      <w:r>
        <w:rPr>
          <w:sz w:val="28"/>
          <w:szCs w:val="28"/>
        </w:rPr>
        <w:t>ая</w:t>
      </w:r>
      <w:r w:rsidRPr="007331C8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7331C8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7331C8">
        <w:rPr>
          <w:sz w:val="28"/>
          <w:szCs w:val="28"/>
        </w:rPr>
        <w:t>по предупреждению образования, погашени</w:t>
      </w:r>
      <w:r>
        <w:rPr>
          <w:sz w:val="28"/>
          <w:szCs w:val="28"/>
        </w:rPr>
        <w:t>ю</w:t>
      </w:r>
      <w:r w:rsidRPr="007331C8">
        <w:rPr>
          <w:sz w:val="28"/>
          <w:szCs w:val="28"/>
        </w:rPr>
        <w:t xml:space="preserve"> (реструктуризации) просроченной кредиторской задолженности по бюджетным </w:t>
      </w:r>
      <w:r w:rsidRPr="00495049">
        <w:rPr>
          <w:sz w:val="28"/>
          <w:szCs w:val="28"/>
        </w:rPr>
        <w:t xml:space="preserve">обязательствам Городского поселения Параньга </w:t>
      </w:r>
      <w:proofErr w:type="spellStart"/>
      <w:r w:rsidRPr="00495049">
        <w:rPr>
          <w:sz w:val="28"/>
          <w:szCs w:val="28"/>
        </w:rPr>
        <w:t>Параньгинского</w:t>
      </w:r>
      <w:proofErr w:type="spellEnd"/>
      <w:r w:rsidRPr="00495049">
        <w:rPr>
          <w:sz w:val="28"/>
          <w:szCs w:val="28"/>
        </w:rPr>
        <w:t xml:space="preserve"> муниципального района Республики Марий Эл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386"/>
        <w:gridCol w:w="1844"/>
        <w:gridCol w:w="3260"/>
      </w:tblGrid>
      <w:tr w:rsidR="00495049" w:rsidRP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Наименование мероприятий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Исполнители</w:t>
            </w:r>
          </w:p>
        </w:tc>
      </w:tr>
      <w:tr w:rsidR="00495049" w:rsidRPr="00495049" w:rsidTr="00E27CFE">
        <w:trPr>
          <w:trHeight w:val="210"/>
        </w:trPr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  <w:rPr>
                <w:sz w:val="20"/>
                <w:szCs w:val="20"/>
              </w:rPr>
            </w:pPr>
            <w:r w:rsidRPr="00495049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pPr>
              <w:jc w:val="center"/>
              <w:rPr>
                <w:sz w:val="20"/>
                <w:szCs w:val="20"/>
              </w:rPr>
            </w:pPr>
            <w:r w:rsidRPr="00495049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  <w:rPr>
                <w:sz w:val="20"/>
                <w:szCs w:val="20"/>
              </w:rPr>
            </w:pPr>
            <w:r w:rsidRPr="0049504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jc w:val="center"/>
              <w:rPr>
                <w:sz w:val="20"/>
                <w:szCs w:val="20"/>
              </w:rPr>
            </w:pPr>
            <w:r w:rsidRPr="00495049">
              <w:rPr>
                <w:sz w:val="20"/>
                <w:szCs w:val="20"/>
              </w:rPr>
              <w:t>4</w:t>
            </w:r>
          </w:p>
        </w:tc>
      </w:tr>
      <w:tr w:rsidR="00495049" w:rsidRP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1.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pPr>
              <w:spacing w:after="219" w:line="247" w:lineRule="auto"/>
              <w:ind w:right="9"/>
              <w:jc w:val="both"/>
            </w:pPr>
            <w:r w:rsidRPr="00495049">
              <w:t>Проведение инвентаризации расчетов и обязательств с заключением актов сверки с кредиторами перед составлением годовой отчетности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 xml:space="preserve">ежегодно перед составлением годовой отчетности 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spacing w:after="3" w:line="247" w:lineRule="auto"/>
              <w:ind w:left="4" w:right="9" w:firstLine="9"/>
              <w:jc w:val="center"/>
            </w:pPr>
            <w:r w:rsidRPr="00495049">
              <w:t>главные распорядители средств бюджета  Городского поселения Параньга</w:t>
            </w:r>
            <w:r w:rsidRPr="00495049">
              <w:rPr>
                <w:sz w:val="28"/>
                <w:szCs w:val="28"/>
              </w:rPr>
              <w:t xml:space="preserve">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 Республики Марий Эл</w:t>
            </w:r>
          </w:p>
          <w:p w:rsidR="00495049" w:rsidRPr="00495049" w:rsidRDefault="00495049" w:rsidP="00E27CFE">
            <w:pPr>
              <w:jc w:val="center"/>
            </w:pPr>
          </w:p>
        </w:tc>
      </w:tr>
      <w:tr w:rsidR="00495049" w:rsidRP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2.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r w:rsidRPr="00495049">
              <w:t>Осуществление ежемесячного мониторинга состояния кредиторской задолженности в целях недопущения образования просроченной задолженности</w:t>
            </w:r>
          </w:p>
          <w:p w:rsidR="00495049" w:rsidRPr="00495049" w:rsidRDefault="00495049" w:rsidP="00E27CFE"/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ежемесячно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spacing w:after="3" w:line="247" w:lineRule="auto"/>
              <w:ind w:left="4" w:right="9" w:firstLine="9"/>
              <w:jc w:val="center"/>
            </w:pPr>
            <w:r w:rsidRPr="00495049">
              <w:t>главные распорядители средств бюджета  Городского поселения Параньга</w:t>
            </w:r>
            <w:r w:rsidRPr="00495049">
              <w:rPr>
                <w:sz w:val="28"/>
                <w:szCs w:val="28"/>
              </w:rPr>
              <w:t xml:space="preserve">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 Республики Марий Эл</w:t>
            </w:r>
          </w:p>
          <w:p w:rsidR="00495049" w:rsidRPr="00495049" w:rsidRDefault="00495049" w:rsidP="00E27CFE">
            <w:pPr>
              <w:jc w:val="center"/>
            </w:pPr>
          </w:p>
        </w:tc>
      </w:tr>
      <w:tr w:rsidR="00495049" w:rsidRP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3.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r w:rsidRPr="00495049">
              <w:t>Принятие обязательств в текущем финансовом году при условии первоочередного исполнения обязатель</w:t>
            </w:r>
            <w:proofErr w:type="gramStart"/>
            <w:r w:rsidRPr="00495049">
              <w:t>ств пр</w:t>
            </w:r>
            <w:proofErr w:type="gramEnd"/>
            <w:r w:rsidRPr="00495049">
              <w:t>ошлого года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spacing w:after="3" w:line="247" w:lineRule="auto"/>
              <w:ind w:left="4" w:right="9" w:firstLine="9"/>
              <w:jc w:val="center"/>
            </w:pPr>
            <w:r w:rsidRPr="00495049">
              <w:t>главные распорядители средств бюджета  Городского поселения Параньга</w:t>
            </w:r>
            <w:r w:rsidRPr="00495049">
              <w:rPr>
                <w:sz w:val="28"/>
                <w:szCs w:val="28"/>
              </w:rPr>
              <w:t xml:space="preserve">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 Республики Марий Эл</w:t>
            </w:r>
          </w:p>
          <w:p w:rsidR="00495049" w:rsidRPr="00495049" w:rsidRDefault="00495049" w:rsidP="00E27CFE">
            <w:pPr>
              <w:jc w:val="center"/>
            </w:pPr>
          </w:p>
        </w:tc>
      </w:tr>
      <w:tr w:rsidR="00495049" w:rsidRP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4.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r w:rsidRPr="00495049">
              <w:t>Соблюдение режима экономии, бюджетной дисциплины, исключение нерационального использования бюджетных средств, оптимизация расходов, предусмотренных на текущий финансовый год для предупреждения образования просроченной задолженности, либо погашения указанной задолженности в случае ее образования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spacing w:after="3" w:line="247" w:lineRule="auto"/>
              <w:ind w:left="4" w:right="9" w:firstLine="9"/>
              <w:jc w:val="center"/>
            </w:pPr>
            <w:r w:rsidRPr="00495049">
              <w:t>главные распорядители средств бюджета  Городского поселения Параньга</w:t>
            </w:r>
            <w:r w:rsidRPr="00495049">
              <w:rPr>
                <w:sz w:val="28"/>
                <w:szCs w:val="28"/>
              </w:rPr>
              <w:t xml:space="preserve">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 Республики Марий Эл</w:t>
            </w:r>
          </w:p>
          <w:p w:rsidR="00495049" w:rsidRPr="00495049" w:rsidRDefault="00495049" w:rsidP="00E27CFE">
            <w:pPr>
              <w:jc w:val="center"/>
            </w:pPr>
          </w:p>
        </w:tc>
      </w:tr>
      <w:tr w:rsidR="00495049" w:rsidRP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>5.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r w:rsidRPr="00495049">
              <w:t xml:space="preserve">Анализ причин возникновения просроченной задолженности и представление  в Финансовое управление администрации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 сведений о причинах </w:t>
            </w:r>
            <w:r w:rsidRPr="00495049">
              <w:lastRenderedPageBreak/>
              <w:t xml:space="preserve">образования такой задолженности и принятых мерах по ее погашению (в случае наличия просроченной кредиторской задолженности на 1-е число месяца, следующего </w:t>
            </w:r>
            <w:proofErr w:type="gramStart"/>
            <w:r w:rsidRPr="00495049">
              <w:t>за</w:t>
            </w:r>
            <w:proofErr w:type="gramEnd"/>
            <w:r w:rsidRPr="00495049">
              <w:t xml:space="preserve"> отчетным) 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lastRenderedPageBreak/>
              <w:t xml:space="preserve">ежемесячно до 10 числа месяца, следующего за </w:t>
            </w:r>
            <w:proofErr w:type="gramStart"/>
            <w:r w:rsidRPr="00495049">
              <w:lastRenderedPageBreak/>
              <w:t>отчетным</w:t>
            </w:r>
            <w:proofErr w:type="gramEnd"/>
            <w:r w:rsidRPr="00495049">
              <w:t>, до полного погашения просроченной задолженности</w:t>
            </w:r>
          </w:p>
        </w:tc>
        <w:tc>
          <w:tcPr>
            <w:tcW w:w="3260" w:type="dxa"/>
            <w:shd w:val="clear" w:color="auto" w:fill="auto"/>
          </w:tcPr>
          <w:p w:rsidR="00495049" w:rsidRPr="00495049" w:rsidRDefault="00495049" w:rsidP="00E27CFE">
            <w:pPr>
              <w:spacing w:after="3" w:line="247" w:lineRule="auto"/>
              <w:ind w:left="4" w:right="9" w:firstLine="9"/>
              <w:jc w:val="center"/>
            </w:pPr>
            <w:r w:rsidRPr="00495049">
              <w:lastRenderedPageBreak/>
              <w:t xml:space="preserve">главные распорядители средств бюджета  Городского поселения </w:t>
            </w:r>
            <w:r w:rsidRPr="00495049">
              <w:lastRenderedPageBreak/>
              <w:t>Параньга</w:t>
            </w:r>
            <w:r w:rsidRPr="00495049">
              <w:rPr>
                <w:sz w:val="28"/>
                <w:szCs w:val="28"/>
              </w:rPr>
              <w:t xml:space="preserve">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 Республики Марий Эл</w:t>
            </w:r>
          </w:p>
          <w:p w:rsidR="00495049" w:rsidRPr="00495049" w:rsidRDefault="00495049" w:rsidP="00E27CFE">
            <w:pPr>
              <w:jc w:val="center"/>
            </w:pPr>
          </w:p>
        </w:tc>
      </w:tr>
      <w:tr w:rsidR="00495049" w:rsidTr="00E27CFE">
        <w:tc>
          <w:tcPr>
            <w:tcW w:w="425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lastRenderedPageBreak/>
              <w:t>6.</w:t>
            </w:r>
          </w:p>
        </w:tc>
        <w:tc>
          <w:tcPr>
            <w:tcW w:w="5386" w:type="dxa"/>
            <w:shd w:val="clear" w:color="auto" w:fill="auto"/>
          </w:tcPr>
          <w:p w:rsidR="00495049" w:rsidRPr="00495049" w:rsidRDefault="00495049" w:rsidP="00E27CFE">
            <w:r w:rsidRPr="00495049">
              <w:t>Направление сверхплановых налоговых и неналоговых поступлений на погашение просроченной кредиторской задолженности по бюджетным обязательствам (при наличии)</w:t>
            </w:r>
          </w:p>
        </w:tc>
        <w:tc>
          <w:tcPr>
            <w:tcW w:w="1844" w:type="dxa"/>
            <w:shd w:val="clear" w:color="auto" w:fill="auto"/>
          </w:tcPr>
          <w:p w:rsidR="00495049" w:rsidRPr="00495049" w:rsidRDefault="00495049" w:rsidP="00E27CFE">
            <w:pPr>
              <w:jc w:val="center"/>
            </w:pPr>
            <w:r w:rsidRPr="00495049">
              <w:t xml:space="preserve">ежегодно </w:t>
            </w:r>
          </w:p>
        </w:tc>
        <w:tc>
          <w:tcPr>
            <w:tcW w:w="3260" w:type="dxa"/>
            <w:shd w:val="clear" w:color="auto" w:fill="auto"/>
          </w:tcPr>
          <w:p w:rsidR="00495049" w:rsidRDefault="00495049" w:rsidP="00E27CFE">
            <w:pPr>
              <w:jc w:val="center"/>
            </w:pPr>
            <w:r w:rsidRPr="00495049">
              <w:t xml:space="preserve">Финансовое управление администрации  </w:t>
            </w:r>
            <w:proofErr w:type="spellStart"/>
            <w:r w:rsidRPr="00495049">
              <w:t>Параньгинского</w:t>
            </w:r>
            <w:proofErr w:type="spellEnd"/>
            <w:r w:rsidRPr="00495049">
              <w:t xml:space="preserve"> муниципального района, органы местного самоуправления в </w:t>
            </w:r>
            <w:proofErr w:type="spellStart"/>
            <w:r w:rsidRPr="00495049">
              <w:t>Параньгинском</w:t>
            </w:r>
            <w:proofErr w:type="spellEnd"/>
            <w:r w:rsidRPr="00495049">
              <w:t xml:space="preserve"> муниципальном районе                   (по согласованию)</w:t>
            </w:r>
          </w:p>
        </w:tc>
      </w:tr>
    </w:tbl>
    <w:p w:rsidR="00495049" w:rsidRPr="00E45ABF" w:rsidRDefault="00495049" w:rsidP="00495049">
      <w:pPr>
        <w:jc w:val="center"/>
        <w:rPr>
          <w:sz w:val="28"/>
          <w:szCs w:val="28"/>
        </w:rPr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center"/>
      </w:pPr>
    </w:p>
    <w:p w:rsidR="00495049" w:rsidRDefault="00495049" w:rsidP="00495049">
      <w:pPr>
        <w:jc w:val="both"/>
      </w:pPr>
      <w:r>
        <w:lastRenderedPageBreak/>
        <w:t xml:space="preserve">                                                                                                                        Приложение </w:t>
      </w:r>
    </w:p>
    <w:p w:rsidR="00495049" w:rsidRDefault="00495049" w:rsidP="00495049">
      <w:pPr>
        <w:ind w:left="6163"/>
        <w:jc w:val="center"/>
      </w:pPr>
      <w:r>
        <w:t>к постановлению</w:t>
      </w:r>
    </w:p>
    <w:p w:rsidR="00495049" w:rsidRDefault="00495049" w:rsidP="00495049">
      <w:pPr>
        <w:ind w:left="6163"/>
        <w:jc w:val="center"/>
      </w:pPr>
      <w:r>
        <w:t xml:space="preserve"> Городского поселения Параньга        </w:t>
      </w:r>
    </w:p>
    <w:p w:rsidR="00495049" w:rsidRDefault="00495049" w:rsidP="00495049">
      <w:pPr>
        <w:ind w:left="6163"/>
        <w:jc w:val="center"/>
      </w:pPr>
      <w:r>
        <w:t xml:space="preserve">администрации          </w:t>
      </w:r>
      <w:proofErr w:type="spellStart"/>
      <w:r>
        <w:t>Параньгинского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495049" w:rsidRDefault="00495049" w:rsidP="00495049">
      <w:pPr>
        <w:ind w:left="6163"/>
        <w:jc w:val="center"/>
      </w:pPr>
      <w:r>
        <w:t>района Республики Марий Эл</w:t>
      </w:r>
    </w:p>
    <w:p w:rsidR="00495049" w:rsidRDefault="00495049" w:rsidP="00495049">
      <w:pPr>
        <w:ind w:left="6163"/>
        <w:jc w:val="center"/>
      </w:pPr>
      <w:r>
        <w:t>от 18 апреля 2023г. № 39-П</w:t>
      </w:r>
    </w:p>
    <w:p w:rsidR="00495049" w:rsidRDefault="00495049" w:rsidP="00495049">
      <w:pPr>
        <w:ind w:left="6163"/>
        <w:jc w:val="center"/>
      </w:pPr>
    </w:p>
    <w:p w:rsidR="00495049" w:rsidRDefault="00495049" w:rsidP="00495049">
      <w:pPr>
        <w:ind w:left="6163"/>
        <w:jc w:val="center"/>
      </w:pPr>
    </w:p>
    <w:p w:rsidR="00495049" w:rsidRDefault="00495049" w:rsidP="00495049">
      <w:pPr>
        <w:ind w:left="6163"/>
        <w:jc w:val="center"/>
      </w:pPr>
    </w:p>
    <w:p w:rsidR="00495049" w:rsidRDefault="00495049" w:rsidP="00495049">
      <w:pPr>
        <w:ind w:left="-567"/>
        <w:jc w:val="both"/>
      </w:pPr>
    </w:p>
    <w:p w:rsidR="00495049" w:rsidRPr="000A20C7" w:rsidRDefault="00495049" w:rsidP="00495049">
      <w:pPr>
        <w:ind w:left="197" w:right="134" w:hanging="10"/>
        <w:jc w:val="center"/>
      </w:pPr>
      <w:r>
        <w:rPr>
          <w:sz w:val="28"/>
          <w:lang w:val="en-US"/>
        </w:rPr>
        <w:t>I</w:t>
      </w:r>
      <w:r w:rsidRPr="000A20C7">
        <w:rPr>
          <w:sz w:val="28"/>
        </w:rPr>
        <w:t>. Значения целевого показателя за 2023 - 2025 годы</w:t>
      </w:r>
    </w:p>
    <w:tbl>
      <w:tblPr>
        <w:tblW w:w="9503" w:type="dxa"/>
        <w:tblInd w:w="-506" w:type="dxa"/>
        <w:tblLayout w:type="fixed"/>
        <w:tblCellMar>
          <w:top w:w="88" w:type="dxa"/>
          <w:left w:w="61" w:type="dxa"/>
          <w:bottom w:w="99" w:type="dxa"/>
          <w:right w:w="0" w:type="dxa"/>
        </w:tblCellMar>
        <w:tblLook w:val="04A0"/>
      </w:tblPr>
      <w:tblGrid>
        <w:gridCol w:w="1868"/>
        <w:gridCol w:w="567"/>
        <w:gridCol w:w="567"/>
        <w:gridCol w:w="468"/>
        <w:gridCol w:w="717"/>
        <w:gridCol w:w="633"/>
        <w:gridCol w:w="709"/>
        <w:gridCol w:w="608"/>
        <w:gridCol w:w="724"/>
        <w:gridCol w:w="677"/>
        <w:gridCol w:w="709"/>
        <w:gridCol w:w="709"/>
        <w:gridCol w:w="547"/>
      </w:tblGrid>
      <w:tr w:rsidR="00495049" w:rsidRPr="000A20C7" w:rsidTr="00E27CFE">
        <w:trPr>
          <w:trHeight w:val="418"/>
        </w:trPr>
        <w:tc>
          <w:tcPr>
            <w:tcW w:w="18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0A20C7" w:rsidRDefault="00495049" w:rsidP="00E27CFE">
            <w:pPr>
              <w:ind w:left="362" w:hanging="149"/>
            </w:pPr>
            <w:r w:rsidRPr="000A20C7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2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049" w:rsidRPr="000A20C7" w:rsidRDefault="00495049" w:rsidP="00E27CFE">
            <w:pPr>
              <w:ind w:right="44"/>
              <w:jc w:val="center"/>
            </w:pPr>
            <w:r w:rsidRPr="000A20C7">
              <w:rPr>
                <w:sz w:val="20"/>
              </w:rPr>
              <w:t>2023 год</w:t>
            </w:r>
          </w:p>
        </w:tc>
        <w:tc>
          <w:tcPr>
            <w:tcW w:w="2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5049" w:rsidRPr="000A20C7" w:rsidRDefault="00495049" w:rsidP="00E27CFE">
            <w:pPr>
              <w:ind w:right="61"/>
              <w:jc w:val="center"/>
            </w:pPr>
            <w:r w:rsidRPr="000A20C7">
              <w:rPr>
                <w:sz w:val="20"/>
              </w:rPr>
              <w:t>2024 год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049" w:rsidRPr="000A20C7" w:rsidRDefault="00495049" w:rsidP="00E27CFE">
            <w:pPr>
              <w:ind w:left="851"/>
            </w:pPr>
            <w:r w:rsidRPr="000A20C7">
              <w:rPr>
                <w:sz w:val="20"/>
              </w:rPr>
              <w:t>2025 год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95049" w:rsidRPr="000A20C7" w:rsidRDefault="00495049" w:rsidP="00E27CFE"/>
        </w:tc>
      </w:tr>
      <w:tr w:rsidR="00495049" w:rsidRPr="000A20C7" w:rsidTr="00E27CFE">
        <w:trPr>
          <w:trHeight w:val="931"/>
        </w:trPr>
        <w:tc>
          <w:tcPr>
            <w:tcW w:w="186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0A20C7" w:rsidRDefault="00495049" w:rsidP="00E27CFE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95049" w:rsidRPr="00495049" w:rsidRDefault="00495049" w:rsidP="00E27CFE">
            <w:pPr>
              <w:jc w:val="both"/>
              <w:rPr>
                <w:sz w:val="20"/>
                <w:szCs w:val="20"/>
              </w:rPr>
            </w:pPr>
            <w:r w:rsidRPr="00495049">
              <w:rPr>
                <w:sz w:val="20"/>
                <w:szCs w:val="20"/>
              </w:rPr>
              <w:t xml:space="preserve">    </w:t>
            </w:r>
            <w:r w:rsidRPr="00582D34">
              <w:rPr>
                <w:sz w:val="20"/>
                <w:szCs w:val="20"/>
                <w:lang w:val="en-US"/>
              </w:rPr>
              <w:t>I</w:t>
            </w:r>
          </w:p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582D34" w:rsidRDefault="00495049" w:rsidP="00E27CFE">
            <w:pPr>
              <w:ind w:left="160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>II</w:t>
            </w:r>
          </w:p>
          <w:p w:rsidR="00495049" w:rsidRPr="00582D34" w:rsidRDefault="00495049" w:rsidP="00E27CFE">
            <w:pPr>
              <w:ind w:left="84" w:hanging="82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r w:rsidRPr="00582D34"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82D34">
              <w:rPr>
                <w:sz w:val="20"/>
                <w:szCs w:val="20"/>
              </w:rPr>
              <w:t>квар</w:t>
            </w:r>
            <w:proofErr w:type="spellEnd"/>
          </w:p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r w:rsidRPr="00582D34">
              <w:rPr>
                <w:sz w:val="20"/>
                <w:szCs w:val="20"/>
              </w:rPr>
              <w:t>тал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95049" w:rsidRPr="00582D34" w:rsidRDefault="00495049" w:rsidP="00E27CFE">
            <w:pPr>
              <w:ind w:left="160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>IV</w:t>
            </w:r>
          </w:p>
          <w:p w:rsidR="00495049" w:rsidRPr="00582D34" w:rsidRDefault="00495049" w:rsidP="00E27CFE">
            <w:pPr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95049" w:rsidRPr="00582D34" w:rsidRDefault="00495049" w:rsidP="00E27CFE">
            <w:pPr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 xml:space="preserve">    I</w:t>
            </w:r>
          </w:p>
          <w:p w:rsidR="00495049" w:rsidRPr="00582D34" w:rsidRDefault="00495049" w:rsidP="00E27CFE">
            <w:pPr>
              <w:ind w:left="84" w:hanging="82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582D34" w:rsidRDefault="00495049" w:rsidP="00E27CFE">
            <w:pPr>
              <w:ind w:left="160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>II</w:t>
            </w:r>
          </w:p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r w:rsidRPr="00582D34"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82D34">
              <w:rPr>
                <w:sz w:val="20"/>
                <w:szCs w:val="20"/>
              </w:rPr>
              <w:t>квар</w:t>
            </w:r>
            <w:proofErr w:type="spellEnd"/>
          </w:p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r w:rsidRPr="00582D34">
              <w:rPr>
                <w:sz w:val="20"/>
                <w:szCs w:val="20"/>
              </w:rPr>
              <w:t>тал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95049" w:rsidRPr="00582D34" w:rsidRDefault="00495049" w:rsidP="00E27CFE">
            <w:pPr>
              <w:ind w:left="160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>IV</w:t>
            </w:r>
          </w:p>
          <w:p w:rsidR="00495049" w:rsidRPr="00582D34" w:rsidRDefault="00495049" w:rsidP="00E27CFE">
            <w:pPr>
              <w:ind w:left="84" w:hanging="77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95049" w:rsidRPr="00582D34" w:rsidRDefault="00495049" w:rsidP="00E27CFE">
            <w:pPr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 xml:space="preserve">    I</w:t>
            </w:r>
          </w:p>
          <w:p w:rsidR="00495049" w:rsidRPr="00582D34" w:rsidRDefault="00495049" w:rsidP="00E27CFE">
            <w:pPr>
              <w:ind w:left="83" w:hanging="48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Pr="00582D34" w:rsidRDefault="00495049" w:rsidP="00E27CFE">
            <w:pPr>
              <w:ind w:left="160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>II</w:t>
            </w:r>
          </w:p>
          <w:p w:rsidR="00495049" w:rsidRPr="00582D34" w:rsidRDefault="00495049" w:rsidP="00E27CFE">
            <w:pPr>
              <w:ind w:left="79" w:hanging="72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049" w:rsidRDefault="00495049" w:rsidP="00E27CFE">
            <w:pPr>
              <w:ind w:left="81" w:hanging="77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 xml:space="preserve">III </w:t>
            </w:r>
          </w:p>
          <w:p w:rsidR="00495049" w:rsidRPr="00582D34" w:rsidRDefault="00495049" w:rsidP="00E27CFE">
            <w:pPr>
              <w:ind w:left="81" w:hanging="77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квар</w:t>
            </w:r>
            <w:proofErr w:type="spellEnd"/>
          </w:p>
          <w:p w:rsidR="00495049" w:rsidRPr="00582D34" w:rsidRDefault="00495049" w:rsidP="00E27CFE">
            <w:pPr>
              <w:ind w:left="157" w:hanging="77"/>
              <w:jc w:val="both"/>
              <w:rPr>
                <w:sz w:val="20"/>
                <w:szCs w:val="20"/>
              </w:rPr>
            </w:pPr>
            <w:r w:rsidRPr="00582D34">
              <w:rPr>
                <w:sz w:val="20"/>
                <w:szCs w:val="20"/>
              </w:rPr>
              <w:t>тал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495049" w:rsidRPr="00582D34" w:rsidRDefault="00495049" w:rsidP="00E27CFE">
            <w:pPr>
              <w:ind w:left="160"/>
              <w:jc w:val="both"/>
              <w:rPr>
                <w:sz w:val="20"/>
                <w:szCs w:val="20"/>
                <w:lang w:val="en-US"/>
              </w:rPr>
            </w:pPr>
            <w:r w:rsidRPr="00582D34">
              <w:rPr>
                <w:sz w:val="20"/>
                <w:szCs w:val="20"/>
                <w:lang w:val="en-US"/>
              </w:rPr>
              <w:t>IV</w:t>
            </w:r>
          </w:p>
          <w:p w:rsidR="00495049" w:rsidRPr="00582D34" w:rsidRDefault="00495049" w:rsidP="00E27CFE">
            <w:pPr>
              <w:ind w:left="74"/>
              <w:jc w:val="both"/>
              <w:rPr>
                <w:sz w:val="20"/>
                <w:szCs w:val="20"/>
              </w:rPr>
            </w:pPr>
            <w:proofErr w:type="spellStart"/>
            <w:r w:rsidRPr="00582D34">
              <w:rPr>
                <w:sz w:val="20"/>
                <w:szCs w:val="20"/>
              </w:rPr>
              <w:t>ква</w:t>
            </w:r>
            <w:proofErr w:type="gramStart"/>
            <w:r w:rsidRPr="00582D34">
              <w:rPr>
                <w:sz w:val="20"/>
                <w:szCs w:val="20"/>
              </w:rPr>
              <w:t>р</w:t>
            </w:r>
            <w:proofErr w:type="spellEnd"/>
            <w:r w:rsidRPr="00582D34">
              <w:rPr>
                <w:sz w:val="20"/>
                <w:szCs w:val="20"/>
              </w:rPr>
              <w:t>-</w:t>
            </w:r>
            <w:proofErr w:type="gramEnd"/>
            <w:r w:rsidRPr="00582D34">
              <w:rPr>
                <w:sz w:val="20"/>
                <w:szCs w:val="20"/>
              </w:rPr>
              <w:t xml:space="preserve"> тал</w:t>
            </w:r>
          </w:p>
        </w:tc>
      </w:tr>
    </w:tbl>
    <w:p w:rsidR="00495049" w:rsidRPr="00BB0EEC" w:rsidRDefault="00495049" w:rsidP="00495049">
      <w:pPr>
        <w:tabs>
          <w:tab w:val="left" w:pos="2160"/>
          <w:tab w:val="left" w:pos="2700"/>
          <w:tab w:val="left" w:pos="3225"/>
          <w:tab w:val="left" w:pos="3975"/>
          <w:tab w:val="center" w:pos="4748"/>
          <w:tab w:val="left" w:pos="5295"/>
          <w:tab w:val="left" w:pos="5820"/>
          <w:tab w:val="left" w:pos="6570"/>
          <w:tab w:val="left" w:pos="7410"/>
          <w:tab w:val="left" w:pos="7995"/>
          <w:tab w:val="left" w:pos="8715"/>
        </w:tabs>
        <w:ind w:left="-567"/>
        <w:rPr>
          <w:lang w:val="en-US"/>
        </w:rPr>
      </w:pPr>
      <w:r w:rsidRPr="000A20C7">
        <w:t xml:space="preserve">Доля </w:t>
      </w:r>
      <w:proofErr w:type="gramStart"/>
      <w:r w:rsidRPr="000A20C7">
        <w:t>просроче</w:t>
      </w:r>
      <w:r>
        <w:t>н</w:t>
      </w:r>
      <w:r w:rsidRPr="000A20C7">
        <w:t>ной</w:t>
      </w:r>
      <w:proofErr w:type="gramEnd"/>
      <w:r w:rsidRPr="000A20C7">
        <w:t xml:space="preserve"> </w:t>
      </w:r>
      <w:r>
        <w:rPr>
          <w:lang w:val="en-US"/>
        </w:rPr>
        <w:t xml:space="preserve"> 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  <w:r>
        <w:rPr>
          <w:lang w:val="en-US"/>
        </w:rPr>
        <w:tab/>
        <w:t>0</w:t>
      </w:r>
    </w:p>
    <w:p w:rsidR="00495049" w:rsidRDefault="00495049" w:rsidP="00495049">
      <w:pPr>
        <w:ind w:left="-567"/>
      </w:pPr>
      <w:r>
        <w:t xml:space="preserve">кредиторской </w:t>
      </w:r>
    </w:p>
    <w:p w:rsidR="00495049" w:rsidRDefault="00495049" w:rsidP="00495049">
      <w:pPr>
        <w:ind w:left="-567"/>
      </w:pPr>
      <w:r>
        <w:t>задолженности</w:t>
      </w:r>
    </w:p>
    <w:p w:rsidR="00495049" w:rsidRDefault="00495049" w:rsidP="00495049">
      <w:pPr>
        <w:ind w:left="-567"/>
      </w:pPr>
      <w:r>
        <w:t xml:space="preserve">по бюджетным </w:t>
      </w:r>
      <w:proofErr w:type="spellStart"/>
      <w:r>
        <w:t>обяза</w:t>
      </w:r>
      <w:proofErr w:type="spellEnd"/>
      <w:r>
        <w:t>-</w:t>
      </w:r>
    </w:p>
    <w:p w:rsidR="00495049" w:rsidRDefault="00495049" w:rsidP="00495049">
      <w:pPr>
        <w:ind w:left="-567"/>
      </w:pPr>
      <w:proofErr w:type="spellStart"/>
      <w:r>
        <w:t>тельствам</w:t>
      </w:r>
      <w:proofErr w:type="spellEnd"/>
      <w:r>
        <w:t xml:space="preserve"> в рамках</w:t>
      </w:r>
    </w:p>
    <w:p w:rsidR="00495049" w:rsidRDefault="00495049" w:rsidP="00495049">
      <w:pPr>
        <w:ind w:left="-567"/>
      </w:pPr>
      <w:r>
        <w:t xml:space="preserve"> бюджета </w:t>
      </w:r>
    </w:p>
    <w:p w:rsidR="00495049" w:rsidRDefault="00495049" w:rsidP="00495049">
      <w:pPr>
        <w:ind w:left="-567"/>
      </w:pPr>
      <w:r>
        <w:t xml:space="preserve">Городского поселения </w:t>
      </w:r>
    </w:p>
    <w:p w:rsidR="00495049" w:rsidRDefault="00495049" w:rsidP="00495049">
      <w:pPr>
        <w:ind w:left="-567"/>
        <w:rPr>
          <w:sz w:val="28"/>
          <w:szCs w:val="28"/>
        </w:rPr>
      </w:pPr>
      <w:r>
        <w:t xml:space="preserve"> Параньга</w:t>
      </w:r>
    </w:p>
    <w:p w:rsidR="00495049" w:rsidRDefault="00495049" w:rsidP="00495049">
      <w:pPr>
        <w:ind w:left="-567"/>
      </w:pPr>
      <w:proofErr w:type="spellStart"/>
      <w:r>
        <w:t>Параньгинского</w:t>
      </w:r>
      <w:proofErr w:type="spellEnd"/>
    </w:p>
    <w:p w:rsidR="00495049" w:rsidRDefault="00495049" w:rsidP="00495049">
      <w:pPr>
        <w:ind w:left="-567"/>
      </w:pPr>
      <w:r>
        <w:t>муниципального р-на,</w:t>
      </w:r>
    </w:p>
    <w:p w:rsidR="00495049" w:rsidRPr="00582D34" w:rsidRDefault="00495049" w:rsidP="00495049">
      <w:pPr>
        <w:ind w:left="-567"/>
      </w:pPr>
      <w:r>
        <w:t>процентов</w:t>
      </w:r>
    </w:p>
    <w:p w:rsidR="00495049" w:rsidRDefault="00495049"/>
    <w:sectPr w:rsidR="00495049" w:rsidSect="000D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D479B"/>
    <w:rsid w:val="00206E0E"/>
    <w:rsid w:val="00253610"/>
    <w:rsid w:val="00320939"/>
    <w:rsid w:val="0036609F"/>
    <w:rsid w:val="00495049"/>
    <w:rsid w:val="004C3A46"/>
    <w:rsid w:val="004C5B74"/>
    <w:rsid w:val="005359DC"/>
    <w:rsid w:val="005D3EE8"/>
    <w:rsid w:val="0065388D"/>
    <w:rsid w:val="00724971"/>
    <w:rsid w:val="00770B99"/>
    <w:rsid w:val="007B488B"/>
    <w:rsid w:val="00B66F9C"/>
    <w:rsid w:val="00D41BDA"/>
    <w:rsid w:val="00F1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00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Стиль3 Знак Знак"/>
    <w:link w:val="30"/>
    <w:uiPriority w:val="99"/>
    <w:rsid w:val="00F10C00"/>
    <w:pPr>
      <w:widowControl w:val="0"/>
      <w:tabs>
        <w:tab w:val="num" w:pos="227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 Знак"/>
    <w:link w:val="3"/>
    <w:uiPriority w:val="99"/>
    <w:locked/>
    <w:rsid w:val="00F1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Исполнители"/>
    <w:basedOn w:val="a"/>
    <w:next w:val="a"/>
    <w:rsid w:val="00F10C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C83A-ADCA-491B-865D-B205A716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2023-04-14T08:08:00Z</cp:lastPrinted>
  <dcterms:created xsi:type="dcterms:W3CDTF">2023-04-18T07:44:00Z</dcterms:created>
  <dcterms:modified xsi:type="dcterms:W3CDTF">2023-04-20T05:39:00Z</dcterms:modified>
</cp:coreProperties>
</file>