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93" w:rsidRDefault="005D2C93" w:rsidP="005D2C93">
      <w:pPr>
        <w:spacing w:after="0" w:line="240" w:lineRule="auto"/>
        <w:ind w:firstLine="567"/>
        <w:jc w:val="center"/>
        <w:outlineLvl w:val="0"/>
        <w:rPr>
          <w:rFonts w:eastAsia="Times New Roman" w:cs="Times New Roman"/>
          <w:b/>
          <w:color w:val="646464"/>
          <w:kern w:val="36"/>
          <w:sz w:val="24"/>
          <w:szCs w:val="24"/>
          <w:lang w:eastAsia="ru-RU"/>
        </w:rPr>
      </w:pPr>
      <w:r w:rsidRPr="005D2C93">
        <w:rPr>
          <w:rFonts w:eastAsia="Times New Roman" w:cs="Times New Roman"/>
          <w:b/>
          <w:color w:val="646464"/>
          <w:kern w:val="36"/>
          <w:sz w:val="24"/>
          <w:szCs w:val="24"/>
          <w:lang w:eastAsia="ru-RU"/>
        </w:rPr>
        <w:t>Конкуренция в здравоохранении и медицине, как фактор развития малого предпринимательства</w:t>
      </w:r>
    </w:p>
    <w:p w:rsidR="005D2C93" w:rsidRPr="005D2C93" w:rsidRDefault="005D2C93" w:rsidP="005D2C93">
      <w:pPr>
        <w:spacing w:after="0" w:line="240" w:lineRule="auto"/>
        <w:ind w:firstLine="567"/>
        <w:jc w:val="center"/>
        <w:outlineLvl w:val="0"/>
        <w:rPr>
          <w:rFonts w:eastAsia="Times New Roman" w:cs="Times New Roman"/>
          <w:b/>
          <w:color w:val="646464"/>
          <w:kern w:val="36"/>
          <w:sz w:val="24"/>
          <w:szCs w:val="24"/>
          <w:lang w:eastAsia="ru-RU"/>
        </w:rPr>
      </w:pPr>
    </w:p>
    <w:p w:rsidR="005D2C93" w:rsidRPr="005D2C93" w:rsidRDefault="005D2C93" w:rsidP="005D2C93">
      <w:pPr>
        <w:spacing w:after="0" w:line="240" w:lineRule="auto"/>
        <w:ind w:firstLine="567"/>
        <w:jc w:val="both"/>
        <w:rPr>
          <w:rFonts w:eastAsia="Times New Roman" w:cs="Times New Roman"/>
          <w:sz w:val="24"/>
          <w:szCs w:val="24"/>
          <w:lang w:eastAsia="ru-RU"/>
        </w:rPr>
      </w:pPr>
      <w:r w:rsidRPr="00CF7258">
        <w:rPr>
          <w:rFonts w:eastAsia="Times New Roman" w:cs="Times New Roman"/>
          <w:bCs/>
          <w:iCs/>
          <w:sz w:val="24"/>
          <w:szCs w:val="24"/>
          <w:lang w:eastAsia="ru-RU"/>
        </w:rPr>
        <w:t>Конкуренция в здравоохранении</w:t>
      </w:r>
      <w:r w:rsidRPr="00CF7258">
        <w:rPr>
          <w:rFonts w:eastAsia="Times New Roman" w:cs="Times New Roman"/>
          <w:b/>
          <w:bCs/>
          <w:i/>
          <w:iCs/>
          <w:sz w:val="24"/>
          <w:szCs w:val="24"/>
          <w:lang w:eastAsia="ru-RU"/>
        </w:rPr>
        <w:t> </w:t>
      </w:r>
      <w:r w:rsidRPr="005D2C93">
        <w:rPr>
          <w:rFonts w:eastAsia="Times New Roman" w:cs="Times New Roman"/>
          <w:sz w:val="24"/>
          <w:szCs w:val="24"/>
          <w:lang w:eastAsia="ru-RU"/>
        </w:rPr>
        <w:t>-</w:t>
      </w:r>
      <w:r w:rsidRPr="00CF7258">
        <w:rPr>
          <w:rFonts w:eastAsia="Times New Roman" w:cs="Times New Roman"/>
          <w:b/>
          <w:bCs/>
          <w:i/>
          <w:iCs/>
          <w:sz w:val="24"/>
          <w:szCs w:val="24"/>
          <w:lang w:eastAsia="ru-RU"/>
        </w:rPr>
        <w:t> </w:t>
      </w:r>
      <w:r w:rsidRPr="005D2C93">
        <w:rPr>
          <w:rFonts w:eastAsia="Times New Roman" w:cs="Times New Roman"/>
          <w:sz w:val="24"/>
          <w:szCs w:val="24"/>
          <w:lang w:eastAsia="ru-RU"/>
        </w:rPr>
        <w:t>это состояние и процесс взаимоотношений субъектов производства и потребления медицинских услуг в рамках специфической цивилизованной формы соперничества между медицинскими работниками (врачами) по достижению наивысшей степени удовлетворения целевых потребностей пациента.</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В конкурентоспособности, по нашему мнению, могут синтезироваться многие аспекты, стороны, факторы функционирования и развития учреждений здравоохранения и врачебных практик.</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Вместе с тем конкурентная среда сама по себе не однозначна и противоречива.</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Исследователи выделяют некоторые противоречия, возникающие при функционировании системы конкуренции в здравоохранении. В частности, к отдельным из них могут быть отнесены:</w:t>
      </w:r>
    </w:p>
    <w:p w:rsidR="005D2C93" w:rsidRPr="00CF7258"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1. противоречие между системой стимулов в здравоохранении и фундаментальными законами конкуренции (высокие цены на медицинские услуги остаются даже при избыточном предложении);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2. противоречие между дорогостоящими медицинскими технологиями и всеобщей доступности в получении медицинской услуги;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3. противоречие между реальным наличием пациентов и высокой стоимостью медицинской услуги (без улучшения качества медицинской помощи);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4. противоречие, в котором заключена сущность того, что действующая система стимулирования медицинского труда поощряет внедрение инноваций, увеличивает издержки либо повышает качество без соответствующего снижения стоимости медицинской услуги.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Конкуренция и конкурентоспособность - понятия универсальные для любого рынка товаров и услуг. Вместе с тем, определенная отрасль хозяйствования накладывает специфические ограничения при формировании конкурентной среды либо оценки конкурентоспособности. Если конкурентоспособность товара потребитель либо эксперт способен оценить непосредственно, то оценка услуги (в частности медицинской), как правило, производится опосредовано.</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Некоторые особенности оценки конкурентоспособности медицинских услуг заключены в следующем:</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объектом оценки является деятельность организации (лечебно-профилактического учреждения, врачебной практики и пр.), предоставляющей медицинские услуги;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оценка услуг связана с оценкой качества процесса и технологии обслуживания;</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оценка деятельности медицинских работников непосредственно потребителем;</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оценка временных характеристик предоставления медицинской услуги;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оценка предоставленной услуги по соответствию стандартов качества обслуживания (условия и культура обслуживания);</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оценка и интегрирование субъективных мнений пациентов, получивших разовую медицинскую услугу.</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xml:space="preserve">Наличие сферы конкуренции в условиях производства и потребления медицинских услуг, повышение конкурентоспособности </w:t>
      </w:r>
      <w:proofErr w:type="spellStart"/>
      <w:r w:rsidRPr="005D2C93">
        <w:rPr>
          <w:rFonts w:eastAsia="Times New Roman" w:cs="Times New Roman"/>
          <w:sz w:val="24"/>
          <w:szCs w:val="24"/>
          <w:lang w:eastAsia="ru-RU"/>
        </w:rPr>
        <w:t>лечебно</w:t>
      </w:r>
      <w:proofErr w:type="spellEnd"/>
      <w:r w:rsidRPr="005D2C93">
        <w:rPr>
          <w:rFonts w:eastAsia="Times New Roman" w:cs="Times New Roman"/>
          <w:sz w:val="24"/>
          <w:szCs w:val="24"/>
          <w:lang w:eastAsia="ru-RU"/>
        </w:rPr>
        <w:t xml:space="preserve"> - профилактических учреждений и медицинских практик особенно важны при перспективном развитии отечественной системы здравоохранения в условиях глобализации.</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xml:space="preserve">Создание условий конкуренции в системе здравоохранения, запуск механизмов цивилизованного соперничества между врачами, наконец, управление конкурентоспособностью медицинских учреждений и врачебных практик - задачи, без осмысливания и решения которых невозможны качественные изменения в теперешнем состоянии отечественного здравоохранения. С позиций системности и комплексного подхода конкурентные преимущества медицинских услуг обеспечиваются правовыми, </w:t>
      </w:r>
      <w:r w:rsidRPr="005D2C93">
        <w:rPr>
          <w:rFonts w:eastAsia="Times New Roman" w:cs="Times New Roman"/>
          <w:sz w:val="24"/>
          <w:szCs w:val="24"/>
          <w:lang w:eastAsia="ru-RU"/>
        </w:rPr>
        <w:lastRenderedPageBreak/>
        <w:t>профессиональными, технологическими, рыночными, научными, экономическими, организационными, психологическими и другими аспектами, а также их системным соотношением.</w:t>
      </w:r>
    </w:p>
    <w:p w:rsidR="005D2C93" w:rsidRPr="005D2C93" w:rsidRDefault="005D2C93" w:rsidP="005D2C93">
      <w:pPr>
        <w:spacing w:after="0" w:line="240" w:lineRule="auto"/>
        <w:ind w:firstLine="567"/>
        <w:jc w:val="both"/>
        <w:rPr>
          <w:rFonts w:eastAsia="Times New Roman" w:cs="Times New Roman"/>
          <w:sz w:val="24"/>
          <w:szCs w:val="24"/>
          <w:lang w:eastAsia="ru-RU"/>
        </w:rPr>
      </w:pPr>
      <w:r w:rsidRPr="005D2C93">
        <w:rPr>
          <w:rFonts w:eastAsia="Times New Roman" w:cs="Times New Roman"/>
          <w:sz w:val="24"/>
          <w:szCs w:val="24"/>
          <w:lang w:eastAsia="ru-RU"/>
        </w:rPr>
        <w:t xml:space="preserve">Создание условий формирования конкурентной среды в медицине, становление и развитие конкурентоспособности медицинских услуг и медицинского труда - эффективный инструмент на пути качественного изменения производственных отношений в самой отрасли здравоохранения и, самое главное, абсолютно необходимое условие формирования современных маркетинговых отношений между </w:t>
      </w:r>
      <w:bookmarkStart w:id="0" w:name="_GoBack"/>
      <w:bookmarkEnd w:id="0"/>
      <w:r w:rsidRPr="005D2C93">
        <w:rPr>
          <w:rFonts w:eastAsia="Times New Roman" w:cs="Times New Roman"/>
          <w:sz w:val="24"/>
          <w:szCs w:val="24"/>
          <w:lang w:eastAsia="ru-RU"/>
        </w:rPr>
        <w:t>пациентом и врачом.</w:t>
      </w:r>
    </w:p>
    <w:p w:rsidR="00B55F56" w:rsidRPr="005D2C93" w:rsidRDefault="00B55F56" w:rsidP="005D2C93">
      <w:pPr>
        <w:ind w:firstLine="567"/>
        <w:jc w:val="both"/>
        <w:rPr>
          <w:rFonts w:cs="Times New Roman"/>
          <w:sz w:val="24"/>
          <w:szCs w:val="24"/>
        </w:rPr>
      </w:pPr>
    </w:p>
    <w:sectPr w:rsidR="00B55F56" w:rsidRPr="005D2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93"/>
    <w:rsid w:val="00107264"/>
    <w:rsid w:val="005D2C93"/>
    <w:rsid w:val="00763302"/>
    <w:rsid w:val="00B55F56"/>
    <w:rsid w:val="00CF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66FC-3A24-475A-97C1-1B87E4DF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2C93"/>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C93"/>
    <w:rPr>
      <w:rFonts w:eastAsia="Times New Roman" w:cs="Times New Roman"/>
      <w:b/>
      <w:bCs/>
      <w:kern w:val="36"/>
      <w:sz w:val="48"/>
      <w:szCs w:val="48"/>
      <w:lang w:eastAsia="ru-RU"/>
    </w:rPr>
  </w:style>
  <w:style w:type="paragraph" w:styleId="a3">
    <w:name w:val="Normal (Web)"/>
    <w:basedOn w:val="a"/>
    <w:uiPriority w:val="99"/>
    <w:semiHidden/>
    <w:unhideWhenUsed/>
    <w:rsid w:val="005D2C9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5D2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27627">
      <w:bodyDiv w:val="1"/>
      <w:marLeft w:val="0"/>
      <w:marRight w:val="0"/>
      <w:marTop w:val="0"/>
      <w:marBottom w:val="0"/>
      <w:divBdr>
        <w:top w:val="none" w:sz="0" w:space="0" w:color="auto"/>
        <w:left w:val="none" w:sz="0" w:space="0" w:color="auto"/>
        <w:bottom w:val="none" w:sz="0" w:space="0" w:color="auto"/>
        <w:right w:val="none" w:sz="0" w:space="0" w:color="auto"/>
      </w:divBdr>
      <w:divsChild>
        <w:div w:id="197083336">
          <w:marLeft w:val="75"/>
          <w:marRight w:val="75"/>
          <w:marTop w:val="75"/>
          <w:marBottom w:val="75"/>
          <w:divBdr>
            <w:top w:val="none" w:sz="0" w:space="0" w:color="auto"/>
            <w:left w:val="none" w:sz="0" w:space="0" w:color="auto"/>
            <w:bottom w:val="none" w:sz="0" w:space="0" w:color="auto"/>
            <w:right w:val="none" w:sz="0" w:space="0" w:color="auto"/>
          </w:divBdr>
          <w:divsChild>
            <w:div w:id="1507667571">
              <w:marLeft w:val="0"/>
              <w:marRight w:val="0"/>
              <w:marTop w:val="0"/>
              <w:marBottom w:val="0"/>
              <w:divBdr>
                <w:top w:val="none" w:sz="0" w:space="0" w:color="auto"/>
                <w:left w:val="none" w:sz="0" w:space="0" w:color="auto"/>
                <w:bottom w:val="none" w:sz="0" w:space="0" w:color="auto"/>
                <w:right w:val="none" w:sz="0" w:space="0" w:color="auto"/>
              </w:divBdr>
              <w:divsChild>
                <w:div w:id="1604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XXJ7TYMEEKJ2-2695-246</_dlc_DocId>
    <_dlc_DocIdUrl xmlns="57504d04-691e-4fc4-8f09-4f19fdbe90f6">
      <Url>https://vip.gov.mari.ru/orshanka/_layouts/DocIdRedir.aspx?ID=XXJ7TYMEEKJ2-2695-246</Url>
      <Description>XXJ7TYMEEKJ2-2695-246</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697A50A6EBFD4299CCC27162C6FE16" ma:contentTypeVersion="1" ma:contentTypeDescription="Создание документа." ma:contentTypeScope="" ma:versionID="8200418ff82c7593956ac3584f113082">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7C59C-7400-4B10-AC99-D72BA16B05EA}"/>
</file>

<file path=customXml/itemProps2.xml><?xml version="1.0" encoding="utf-8"?>
<ds:datastoreItem xmlns:ds="http://schemas.openxmlformats.org/officeDocument/2006/customXml" ds:itemID="{B834C65F-5AF4-40D7-8293-C28E4ED3051B}"/>
</file>

<file path=customXml/itemProps3.xml><?xml version="1.0" encoding="utf-8"?>
<ds:datastoreItem xmlns:ds="http://schemas.openxmlformats.org/officeDocument/2006/customXml" ds:itemID="{B4DE9ED3-4D65-47EC-AB1E-EBE051D5299B}"/>
</file>

<file path=customXml/itemProps4.xml><?xml version="1.0" encoding="utf-8"?>
<ds:datastoreItem xmlns:ds="http://schemas.openxmlformats.org/officeDocument/2006/customXml" ds:itemID="{F3669826-794C-4F23-9ED3-942725635B17}"/>
</file>

<file path=docProps/app.xml><?xml version="1.0" encoding="utf-8"?>
<Properties xmlns="http://schemas.openxmlformats.org/officeDocument/2006/extended-properties" xmlns:vt="http://schemas.openxmlformats.org/officeDocument/2006/docPropsVTypes">
  <Template>Normal.dotm</Template>
  <TotalTime>30</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Конкуренция в здравоохранении и медицине, как фактор развития малого предпринимательства</dc:title>
  <dc:subject/>
  <dc:creator>Econom-M</dc:creator>
  <cp:keywords/>
  <dc:description/>
  <cp:lastModifiedBy>Econom-M</cp:lastModifiedBy>
  <cp:revision>4</cp:revision>
  <dcterms:created xsi:type="dcterms:W3CDTF">2022-02-25T12:26:00Z</dcterms:created>
  <dcterms:modified xsi:type="dcterms:W3CDTF">2022-02-25T13:39:00Z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0x01010058697A50A6EBFD4299CCC27162C6FE16</vt:lpwstr>
  </property>
  <property fmtid="{D5CDD505-2E9C-101B-9397-08002B2CF9AE}" pid="3" name="_dlc_DocIdItemGuid">
    <vt:lpwstr>5cb3c4aa-c939-442a-b25b-8b61d14848a4</vt:lpwstr>
  </property>
</Properties>
</file>