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261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Собрания депутатов городского поселения Советский от 21 марта 2019 г. № 232 «Об утверждении </w:t>
        <w:br/>
        <w:t xml:space="preserve">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«Городское поселение Советский»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  <w:br/>
        <w:t>Собрание депутатов городского поселения Советский решило: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Внести в Положения о порядке организации и проведения публичных слушаний по вопросам градостроительной деятельности  </w:t>
        <w:br/>
        <w:t>на территории муниципального образования «Городское поселение Советский», утвержденного решением Собрания депутатов городского поселения Советский от 21 марта 2019 г. № 232 следующее изменение: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ПОС ЕПГУ, единый портал</w:t>
      </w:r>
      <w:r>
        <w:rPr>
          <w:rFonts w:eastAsia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03 февраля 2022 г. № 101.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заблаговременного оповещения жителей городского поселения Советский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организации участия жителей городского поселения Советский в публичных слушаниях;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городского  поселения Советский своих замечаний и предложений по проекту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муниципального нормативного акта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06.10.2003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>, в целях оповещения жителей городского поселения Советский о публичных слушаниях, проводимых</w:t>
        <w:br/>
        <w:t>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поселения в срок не позднее пяти рабочих дней со дня проведения публичных слушаний.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tru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overflowPunct w:val="tru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LibreOffice/6.1.2.1$Windows_x86 LibreOffice_project/65905a128db06ba48db947242809d14d3f9a93fe</Application>
  <Pages>2</Pages>
  <Words>479</Words>
  <Characters>3428</Characters>
  <CharactersWithSpaces>4038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2023-10-19T11:44:47Z</cp:lastPrinted>
  <dcterms:modified xsi:type="dcterms:W3CDTF">2023-10-19T11:44:54Z</dcterms:modified>
  <cp:revision>18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