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6B6F11" w:rsidRPr="00A262A8" w:rsidTr="00DA72CA">
        <w:trPr>
          <w:trHeight w:val="2684"/>
        </w:trPr>
        <w:tc>
          <w:tcPr>
            <w:tcW w:w="4394" w:type="dxa"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20"/>
              </w:rPr>
              <w:t>Т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>@</w:t>
            </w:r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2A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</w:rPr>
                <w:t>@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r w:rsidRPr="00A262A8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B6F11" w:rsidRPr="00A262A8" w:rsidRDefault="006B6F11" w:rsidP="00DA72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6F11" w:rsidRPr="00A262A8" w:rsidRDefault="006B6F11" w:rsidP="00DA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B6F11" w:rsidRDefault="006B6F11" w:rsidP="0061080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10805" w:rsidRPr="006600D4" w:rsidRDefault="00610805" w:rsidP="0061080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 w:val="28"/>
          <w:szCs w:val="28"/>
        </w:rPr>
        <w:t>ПРОЕКТ</w:t>
      </w:r>
    </w:p>
    <w:p w:rsidR="00610805" w:rsidRPr="006600D4" w:rsidRDefault="00610805" w:rsidP="0061080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610805" w:rsidRDefault="00610805" w:rsidP="00610805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  </w:t>
      </w:r>
    </w:p>
    <w:p w:rsid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1" w:anchor="/document/12164247/entry/9113" w:history="1">
        <w:r w:rsidRPr="0011048E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2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3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610805" w:rsidRP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4" w:tgtFrame="_blank" w:history="1"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610805" w:rsidRPr="00610805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610805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руководствуясь  </w:t>
      </w:r>
      <w:hyperlink r:id="rId15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</w:t>
      </w:r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48E" w:rsidRDefault="0011048E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00C7" w:rsidRDefault="00B100C7" w:rsidP="00B10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F11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B100C7" w:rsidRPr="0011048E" w:rsidRDefault="0011048E" w:rsidP="00B100C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11048E" w:rsidRDefault="0011048E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proofErr w:type="spellStart"/>
      <w:r w:rsidR="006B6F11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100C7" w:rsidRPr="0011048E" w:rsidRDefault="00B100C7" w:rsidP="00B100C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сельской администрации</w:t>
      </w:r>
    </w:p>
    <w:p w:rsidR="0011048E" w:rsidRPr="0011048E" w:rsidRDefault="0011048E" w:rsidP="0011048E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_______ 2022 г</w:t>
      </w:r>
      <w:proofErr w:type="gramStart"/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100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___</w:t>
      </w:r>
      <w:proofErr w:type="gramEnd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11048E" w:rsidRPr="0011048E" w:rsidTr="004C068E">
        <w:tc>
          <w:tcPr>
            <w:tcW w:w="4785" w:type="dxa"/>
          </w:tcPr>
          <w:p w:rsidR="0011048E" w:rsidRPr="0011048E" w:rsidRDefault="0011048E" w:rsidP="001104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6" w:anchor="/document/400665980/entry/10000" w:history="1">
              <w:r w:rsidRPr="0011048E">
                <w:rPr>
                  <w:rFonts w:ascii="Times New Roman" w:eastAsia="Times New Roman" w:hAnsi="Times New Roman"/>
                  <w:color w:val="FF0000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11048E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11048E" w:rsidRPr="0011048E" w:rsidRDefault="0011048E" w:rsidP="001104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границах населенных пунктов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Моркинсокго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______ 2022 г. № ____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1104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Эл».</w:t>
      </w:r>
    </w:p>
    <w:p w:rsidR="00B100C7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11048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границах населенных пунктов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6B6F11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 w:rsidR="00B100C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23"/>
        <w:gridCol w:w="116"/>
        <w:gridCol w:w="7"/>
        <w:gridCol w:w="28"/>
        <w:gridCol w:w="1698"/>
        <w:gridCol w:w="4409"/>
        <w:gridCol w:w="119"/>
        <w:gridCol w:w="109"/>
        <w:gridCol w:w="41"/>
      </w:tblGrid>
      <w:tr w:rsidR="0011048E" w:rsidRPr="0011048E" w:rsidTr="0053142E">
        <w:trPr>
          <w:trHeight w:val="734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99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1048E" w:rsidRPr="0011048E" w:rsidTr="00B100C7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B100C7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B100C7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1048E" w:rsidRPr="0011048E" w:rsidRDefault="0011048E" w:rsidP="00B100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заполнения графы  "неприменимо")</w:t>
            </w:r>
          </w:p>
        </w:tc>
        <w:tc>
          <w:tcPr>
            <w:tcW w:w="467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применительно  к  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отдельным  этапам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экспертизу  проектной</w:t>
            </w:r>
            <w:r w:rsidR="00B10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 и  в  органы  государственного  строительного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1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0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16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содержание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пункты  1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2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2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25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17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27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Минтранса  России  от  16.11.2012  №402  «</w:t>
            </w:r>
            <w:hyperlink r:id="rId2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ремонт  автомобильных  дорог  в  соответствии  с  требованиями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18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31" w:tgtFrame="_blank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Об  автомобильных  дорогах  и  о  дорожной  </w:t>
              </w:r>
              <w:r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автомобильных  дорог  в  соответствии  с  техническими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2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разрешение  на  строительство  в  случае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прокладки,  переноса,  переустройства  инженерных  коммуникаций  в  границах  придорожных  полос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5  статьи  19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2"/>
          <w:wAfter w:w="15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1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1"/>
          <w:wAfter w:w="41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</w:t>
            </w:r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4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6  статьи  22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</w:t>
            </w:r>
            <w:hyperlink r:id="rId39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2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3  статьи  25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4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6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B02CBA" w:rsidP="00B10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пункт  8  статьи  26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Федерального  закона  от  08.11.2007  №  257-ФЗ  «</w:t>
            </w:r>
            <w:hyperlink r:id="rId48" w:tgtFrame="_blank" w:history="1">
              <w:r w:rsidR="0011048E" w:rsidRPr="0011048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1048E"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11048E" w:rsidRPr="0011048E" w:rsidTr="00B100C7">
        <w:trPr>
          <w:gridAfter w:val="3"/>
          <w:wAfter w:w="269" w:type="dxa"/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Соблюдаются ли требования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Ст. 19 -22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11048E" w:rsidRPr="0011048E" w:rsidTr="00B100C7">
        <w:trPr>
          <w:gridAfter w:val="3"/>
          <w:wAfter w:w="269" w:type="dxa"/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11048E" w:rsidRPr="0011048E" w:rsidTr="0053142E">
        <w:trPr>
          <w:gridAfter w:val="3"/>
          <w:wAfter w:w="269" w:type="dxa"/>
          <w:trHeight w:val="184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Правила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11048E" w:rsidRPr="0011048E" w:rsidTr="0053142E">
        <w:trPr>
          <w:gridAfter w:val="3"/>
          <w:wAfter w:w="269" w:type="dxa"/>
          <w:trHeight w:val="27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8E" w:rsidRPr="0011048E" w:rsidRDefault="0011048E" w:rsidP="0011048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048E" w:rsidRPr="0011048E" w:rsidRDefault="0011048E" w:rsidP="005314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spellStart"/>
            <w:r w:rsidR="006B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Шоруньжинской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сельской администрации  от 21.12.2012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</w:t>
            </w:r>
            <w:r w:rsidRPr="00110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1104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="006B6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Моркинского</w:t>
            </w:r>
            <w:proofErr w:type="spellEnd"/>
            <w:r w:rsidR="0053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Марий Эл»</w:t>
            </w:r>
          </w:p>
        </w:tc>
      </w:tr>
    </w:tbl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1048E" w:rsidRPr="0011048E" w:rsidSect="0037697A">
          <w:pgSz w:w="16838" w:h="11906" w:orient="landscape"/>
          <w:pgMar w:top="851" w:right="1134" w:bottom="3261" w:left="1134" w:header="709" w:footer="709" w:gutter="0"/>
          <w:cols w:space="708"/>
          <w:docGrid w:linePitch="360"/>
        </w:sectPr>
      </w:pPr>
    </w:p>
    <w:p w:rsidR="0011048E" w:rsidRPr="0011048E" w:rsidRDefault="0011048E" w:rsidP="0011048E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11048E" w:rsidRPr="0011048E" w:rsidRDefault="0011048E" w:rsidP="0011048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11048E" w:rsidRPr="0011048E" w:rsidRDefault="0011048E" w:rsidP="001104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11048E" w:rsidRPr="0011048E" w:rsidRDefault="0011048E" w:rsidP="001104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11048E" w:rsidRPr="0011048E" w:rsidRDefault="0011048E" w:rsidP="001104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1048E" w:rsidRPr="0011048E" w:rsidRDefault="0011048E" w:rsidP="0011048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48E" w:rsidRPr="0011048E" w:rsidRDefault="0011048E" w:rsidP="0011048E">
      <w:pPr>
        <w:rPr>
          <w:rFonts w:eastAsia="Times New Roman"/>
          <w:sz w:val="24"/>
          <w:szCs w:val="24"/>
          <w:lang w:eastAsia="ru-RU"/>
        </w:rPr>
      </w:pPr>
    </w:p>
    <w:p w:rsidR="00883F8D" w:rsidRPr="00883F8D" w:rsidRDefault="00883F8D" w:rsidP="00883F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5C98" w:rsidRDefault="001E5C98"/>
    <w:sectPr w:rsidR="001E5C98" w:rsidSect="007C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DE"/>
    <w:rsid w:val="0011048E"/>
    <w:rsid w:val="001E5C98"/>
    <w:rsid w:val="0037697A"/>
    <w:rsid w:val="003A6C0E"/>
    <w:rsid w:val="0053142E"/>
    <w:rsid w:val="00610805"/>
    <w:rsid w:val="006B6F11"/>
    <w:rsid w:val="007C3C49"/>
    <w:rsid w:val="00883F8D"/>
    <w:rsid w:val="0096105C"/>
    <w:rsid w:val="00A626DB"/>
    <w:rsid w:val="00A76CDE"/>
    <w:rsid w:val="00B02CBA"/>
    <w:rsid w:val="00B100C7"/>
    <w:rsid w:val="00F0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10805"/>
    <w:rPr>
      <w:color w:val="0000FF"/>
      <w:u w:val="single"/>
    </w:rPr>
  </w:style>
  <w:style w:type="paragraph" w:styleId="a7">
    <w:name w:val="No Spacing"/>
    <w:uiPriority w:val="1"/>
    <w:qFormat/>
    <w:rsid w:val="006108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8D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104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1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657E8284-BC2A-4A2A-B081-84E5E12B557E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-search.minjust.ru:8080/bigs/showDocument.html?id=E5BB8E40-60D6-4349-A187-BB63B310025C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avo-search.minjust.ru:8080/bigs/showDocument.html?id=EE35B171-7EB7-4CB6-8EED-AD96663E9D9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horunzha@mail.ru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pravo-search.minjust.ru:8080/bigs/showDocument.html?id=4AC55DD5-905E-4CA3-882A-C1A53BAE3934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webSettings" Target="webSettings.xm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A436DD8DA448AD633E89707174E7" ma:contentTypeVersion="0" ma:contentTypeDescription="Создание документа." ma:contentTypeScope="" ma:versionID="79aa147706a6b111f3e8d5f97da7fea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XXJ7TYMEEKJ2-838053062-6</_dlc_DocId>
    <_dlc_DocIdUrl xmlns="57504d04-691e-4fc4-8f09-4f19fdbe90f6">
      <Url>https://vip.gov.mari.ru/morki/shorunga/_layouts/DocIdRedir.aspx?ID=XXJ7TYMEEKJ2-838053062-6</Url>
      <Description>XXJ7TYMEEKJ2-838053062-6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E12C4C-0258-4334-A08C-28FF06FEDA6A}"/>
</file>

<file path=customXml/itemProps2.xml><?xml version="1.0" encoding="utf-8"?>
<ds:datastoreItem xmlns:ds="http://schemas.openxmlformats.org/officeDocument/2006/customXml" ds:itemID="{2F3F423D-C683-4813-8353-246CE9DA2416}"/>
</file>

<file path=customXml/itemProps3.xml><?xml version="1.0" encoding="utf-8"?>
<ds:datastoreItem xmlns:ds="http://schemas.openxmlformats.org/officeDocument/2006/customXml" ds:itemID="{C6BB80A0-677F-4F87-9A2E-D4421F2037DC}"/>
</file>

<file path=customXml/itemProps4.xml><?xml version="1.0" encoding="utf-8"?>
<ds:datastoreItem xmlns:ds="http://schemas.openxmlformats.org/officeDocument/2006/customXml" ds:itemID="{958EA2A2-45A0-48B4-857A-B89A96B36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формы  проверочного  листа, применяемого  при  осуществлении  муниципального контроля на автомобильном транспорте</dc:title>
  <dc:subject/>
  <dc:creator>Пользователь</dc:creator>
  <cp:keywords/>
  <dc:description/>
  <cp:lastModifiedBy>Унчо</cp:lastModifiedBy>
  <cp:revision>7</cp:revision>
  <cp:lastPrinted>2022-02-11T06:21:00Z</cp:lastPrinted>
  <dcterms:created xsi:type="dcterms:W3CDTF">2022-02-02T06:38:00Z</dcterms:created>
  <dcterms:modified xsi:type="dcterms:W3CDTF">2022-02-11T06:21:00Z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0x0101006344A436DD8DA448AD633E89707174E7</vt:lpwstr>
  </property>
  <property fmtid="{D5CDD505-2E9C-101B-9397-08002B2CF9AE}" pid="3" name="_dlc_DocIdItemGuid">
    <vt:lpwstr>36bfa990-7c96-40a4-8bf7-948576c62967</vt:lpwstr>
  </property>
</Properties>
</file>