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2659EA" w:rsidRPr="006674D4" w:rsidTr="00E1145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9EA" w:rsidRDefault="002659EA" w:rsidP="00E114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2659EA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2659EA" w:rsidRPr="00E11456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E114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114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E114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E114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114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2659EA" w:rsidRPr="006674D4" w:rsidTr="00E1145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59EA" w:rsidRPr="00E11456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59EA" w:rsidRPr="00E11456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59EA" w:rsidRPr="00E11456" w:rsidRDefault="002659EA" w:rsidP="00E1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6674D4" w:rsidRDefault="006674D4" w:rsidP="002659EA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9EA" w:rsidRPr="00661196" w:rsidRDefault="002659EA" w:rsidP="002659EA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6611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59EA" w:rsidRPr="00661196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661196" w:rsidRDefault="002659EA" w:rsidP="00661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1196">
        <w:rPr>
          <w:rFonts w:ascii="Times New Roman" w:hAnsi="Times New Roman"/>
          <w:sz w:val="28"/>
          <w:szCs w:val="28"/>
        </w:rPr>
        <w:t>№</w:t>
      </w:r>
      <w:r w:rsidR="006674D4">
        <w:rPr>
          <w:rFonts w:ascii="Times New Roman" w:hAnsi="Times New Roman"/>
          <w:sz w:val="28"/>
          <w:szCs w:val="28"/>
        </w:rPr>
        <w:t>51</w:t>
      </w:r>
      <w:r w:rsidRPr="00661196">
        <w:rPr>
          <w:rFonts w:ascii="Times New Roman" w:hAnsi="Times New Roman"/>
          <w:sz w:val="28"/>
          <w:szCs w:val="28"/>
        </w:rPr>
        <w:tab/>
      </w:r>
      <w:r w:rsidRPr="00661196">
        <w:rPr>
          <w:rFonts w:ascii="Times New Roman" w:hAnsi="Times New Roman"/>
          <w:sz w:val="28"/>
          <w:szCs w:val="28"/>
        </w:rPr>
        <w:tab/>
      </w:r>
      <w:r w:rsidRPr="00661196">
        <w:rPr>
          <w:rFonts w:ascii="Times New Roman" w:hAnsi="Times New Roman"/>
          <w:sz w:val="28"/>
          <w:szCs w:val="28"/>
        </w:rPr>
        <w:tab/>
      </w:r>
      <w:r w:rsidRPr="00661196">
        <w:rPr>
          <w:rFonts w:ascii="Times New Roman" w:hAnsi="Times New Roman"/>
          <w:sz w:val="28"/>
          <w:szCs w:val="28"/>
        </w:rPr>
        <w:tab/>
      </w:r>
      <w:r w:rsidRPr="00661196">
        <w:rPr>
          <w:rFonts w:ascii="Times New Roman" w:hAnsi="Times New Roman"/>
          <w:sz w:val="28"/>
          <w:szCs w:val="28"/>
        </w:rPr>
        <w:tab/>
        <w:t xml:space="preserve"> от </w:t>
      </w:r>
      <w:r w:rsidR="006674D4">
        <w:rPr>
          <w:rFonts w:ascii="Times New Roman" w:hAnsi="Times New Roman"/>
          <w:sz w:val="28"/>
          <w:szCs w:val="28"/>
        </w:rPr>
        <w:t>21 июня 2023</w:t>
      </w:r>
      <w:r w:rsidRPr="00661196">
        <w:rPr>
          <w:rFonts w:ascii="Times New Roman" w:hAnsi="Times New Roman"/>
          <w:sz w:val="28"/>
          <w:szCs w:val="28"/>
        </w:rPr>
        <w:t xml:space="preserve"> г</w:t>
      </w:r>
    </w:p>
    <w:p w:rsidR="002659EA" w:rsidRPr="002659EA" w:rsidRDefault="002659EA" w:rsidP="002659EA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59EA" w:rsidRPr="002659EA" w:rsidRDefault="002659EA" w:rsidP="006466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О </w:t>
      </w:r>
      <w:r w:rsidR="00661196">
        <w:rPr>
          <w:rFonts w:ascii="Times New Roman" w:hAnsi="Times New Roman"/>
          <w:sz w:val="28"/>
          <w:szCs w:val="28"/>
        </w:rPr>
        <w:t>муниципальной программе «Комплексное развитие систем коммунальной инфраструктуры в Себеусадском сельском поселении»</w:t>
      </w:r>
      <w:r w:rsidRPr="002659EA">
        <w:rPr>
          <w:rFonts w:ascii="Times New Roman" w:hAnsi="Times New Roman"/>
          <w:sz w:val="28"/>
          <w:szCs w:val="28"/>
        </w:rPr>
        <w:t xml:space="preserve"> </w:t>
      </w:r>
      <w:r w:rsidR="006466C1">
        <w:rPr>
          <w:rFonts w:ascii="Times New Roman" w:hAnsi="Times New Roman"/>
          <w:sz w:val="28"/>
          <w:szCs w:val="28"/>
        </w:rPr>
        <w:t>на 2023-2027 годы</w:t>
      </w:r>
      <w:r w:rsidR="009346D6">
        <w:rPr>
          <w:rFonts w:ascii="Times New Roman" w:hAnsi="Times New Roman"/>
          <w:sz w:val="28"/>
          <w:szCs w:val="28"/>
        </w:rPr>
        <w:t>"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6611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9EA">
        <w:rPr>
          <w:rFonts w:ascii="Times New Roman" w:hAnsi="Times New Roman"/>
          <w:sz w:val="28"/>
          <w:szCs w:val="28"/>
        </w:rPr>
        <w:t>Во</w:t>
      </w:r>
      <w:proofErr w:type="gramEnd"/>
      <w:r w:rsidRPr="002659EA">
        <w:rPr>
          <w:rFonts w:ascii="Times New Roman" w:hAnsi="Times New Roman"/>
          <w:sz w:val="28"/>
          <w:szCs w:val="28"/>
        </w:rPr>
        <w:t xml:space="preserve"> исполнении </w:t>
      </w:r>
      <w:r w:rsidRPr="002659E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№  289-ФЗ от 30.12.2012 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2659EA">
        <w:rPr>
          <w:rFonts w:ascii="Times New Roman" w:hAnsi="Times New Roman"/>
          <w:sz w:val="28"/>
          <w:szCs w:val="28"/>
        </w:rPr>
        <w:t xml:space="preserve"> </w:t>
      </w:r>
      <w:r w:rsidRPr="002659EA">
        <w:rPr>
          <w:rFonts w:ascii="Times New Roman" w:hAnsi="Times New Roman"/>
          <w:spacing w:val="84"/>
          <w:sz w:val="28"/>
          <w:szCs w:val="28"/>
        </w:rPr>
        <w:t>постановляет:</w:t>
      </w:r>
    </w:p>
    <w:p w:rsidR="002659EA" w:rsidRPr="002659EA" w:rsidRDefault="002659EA" w:rsidP="00661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«Комплексное развитие систем коммунальной инфраструктуры </w:t>
      </w:r>
      <w:r w:rsidR="006466C1">
        <w:rPr>
          <w:rFonts w:ascii="Times New Roman" w:hAnsi="Times New Roman"/>
          <w:sz w:val="28"/>
          <w:szCs w:val="28"/>
        </w:rPr>
        <w:t>в Себеусадском сельском поселении» на 2023-2027</w:t>
      </w:r>
      <w:r w:rsidRPr="002659EA">
        <w:rPr>
          <w:rFonts w:ascii="Times New Roman" w:hAnsi="Times New Roman"/>
          <w:sz w:val="28"/>
          <w:szCs w:val="28"/>
        </w:rPr>
        <w:t xml:space="preserve"> годы».</w:t>
      </w:r>
    </w:p>
    <w:p w:rsidR="002659EA" w:rsidRPr="002659EA" w:rsidRDefault="002659EA" w:rsidP="00661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59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59E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000"/>
      </w:tblPr>
      <w:tblGrid>
        <w:gridCol w:w="4644"/>
        <w:gridCol w:w="5061"/>
      </w:tblGrid>
      <w:tr w:rsidR="002659EA" w:rsidRPr="002659EA" w:rsidTr="00E11456">
        <w:tc>
          <w:tcPr>
            <w:tcW w:w="4644" w:type="dxa"/>
            <w:shd w:val="clear" w:color="auto" w:fill="auto"/>
          </w:tcPr>
          <w:p w:rsidR="006466C1" w:rsidRDefault="002659EA" w:rsidP="006466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Глава </w:t>
            </w:r>
            <w:r w:rsidR="006466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Себеусадской </w:t>
            </w:r>
          </w:p>
          <w:p w:rsidR="002659EA" w:rsidRPr="002659EA" w:rsidRDefault="006466C1" w:rsidP="006466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сельской администрации</w:t>
            </w:r>
          </w:p>
        </w:tc>
        <w:tc>
          <w:tcPr>
            <w:tcW w:w="5061" w:type="dxa"/>
            <w:shd w:val="clear" w:color="auto" w:fill="auto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В.Михайлов</w:t>
            </w:r>
          </w:p>
        </w:tc>
      </w:tr>
    </w:tbl>
    <w:p w:rsidR="002659EA" w:rsidRPr="002659EA" w:rsidRDefault="002659EA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659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2659EA" w:rsidRPr="002659EA" w:rsidRDefault="002659EA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659EA" w:rsidRDefault="002659EA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466C1" w:rsidRDefault="006466C1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466C1" w:rsidRDefault="006466C1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674D4" w:rsidRPr="002659EA" w:rsidRDefault="006674D4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659EA" w:rsidRPr="002659EA" w:rsidRDefault="002659EA" w:rsidP="006466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6466C1">
        <w:rPr>
          <w:rFonts w:ascii="Times New Roman" w:hAnsi="Times New Roman"/>
          <w:sz w:val="28"/>
          <w:szCs w:val="28"/>
        </w:rPr>
        <w:t xml:space="preserve">                      Утверждена</w:t>
      </w:r>
    </w:p>
    <w:p w:rsidR="002659EA" w:rsidRDefault="002659EA" w:rsidP="006466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Постановлением </w:t>
      </w:r>
      <w:r w:rsidR="006466C1">
        <w:rPr>
          <w:rFonts w:ascii="Times New Roman" w:hAnsi="Times New Roman"/>
          <w:sz w:val="28"/>
          <w:szCs w:val="28"/>
        </w:rPr>
        <w:t>Себеусадской</w:t>
      </w:r>
    </w:p>
    <w:p w:rsidR="006466C1" w:rsidRPr="002659EA" w:rsidRDefault="006466C1" w:rsidP="006466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2659EA" w:rsidRPr="002659EA" w:rsidRDefault="002659EA" w:rsidP="006466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от «</w:t>
      </w:r>
      <w:r w:rsidR="006674D4">
        <w:rPr>
          <w:rFonts w:ascii="Times New Roman" w:hAnsi="Times New Roman"/>
          <w:sz w:val="28"/>
          <w:szCs w:val="28"/>
        </w:rPr>
        <w:t>21</w:t>
      </w:r>
      <w:r w:rsidRPr="002659EA">
        <w:rPr>
          <w:rFonts w:ascii="Times New Roman" w:hAnsi="Times New Roman"/>
          <w:sz w:val="28"/>
          <w:szCs w:val="28"/>
        </w:rPr>
        <w:t>»</w:t>
      </w:r>
      <w:r w:rsidR="006674D4">
        <w:rPr>
          <w:rFonts w:ascii="Times New Roman" w:hAnsi="Times New Roman"/>
          <w:sz w:val="28"/>
          <w:szCs w:val="28"/>
        </w:rPr>
        <w:t xml:space="preserve"> июня</w:t>
      </w:r>
      <w:r w:rsidRPr="002659EA">
        <w:rPr>
          <w:rFonts w:ascii="Times New Roman" w:hAnsi="Times New Roman"/>
          <w:sz w:val="28"/>
          <w:szCs w:val="28"/>
        </w:rPr>
        <w:t xml:space="preserve"> 20</w:t>
      </w:r>
      <w:r w:rsidR="006466C1">
        <w:rPr>
          <w:rFonts w:ascii="Times New Roman" w:hAnsi="Times New Roman"/>
          <w:sz w:val="28"/>
          <w:szCs w:val="28"/>
        </w:rPr>
        <w:t>23</w:t>
      </w:r>
      <w:r w:rsidRPr="002659EA">
        <w:rPr>
          <w:rFonts w:ascii="Times New Roman" w:hAnsi="Times New Roman"/>
          <w:sz w:val="28"/>
          <w:szCs w:val="28"/>
        </w:rPr>
        <w:t xml:space="preserve"> г. №</w:t>
      </w:r>
      <w:r w:rsidR="006674D4">
        <w:rPr>
          <w:rFonts w:ascii="Times New Roman" w:hAnsi="Times New Roman"/>
          <w:sz w:val="28"/>
          <w:szCs w:val="28"/>
        </w:rPr>
        <w:t>51</w:t>
      </w:r>
      <w:r w:rsidRPr="002659EA">
        <w:rPr>
          <w:rFonts w:ascii="Times New Roman" w:hAnsi="Times New Roman"/>
          <w:sz w:val="28"/>
          <w:szCs w:val="28"/>
        </w:rPr>
        <w:t xml:space="preserve"> </w:t>
      </w:r>
      <w:r w:rsidR="006466C1">
        <w:rPr>
          <w:rFonts w:ascii="Times New Roman" w:hAnsi="Times New Roman"/>
          <w:sz w:val="28"/>
          <w:szCs w:val="28"/>
        </w:rPr>
        <w:t xml:space="preserve"> 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6466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Муниципальная программа</w:t>
      </w:r>
    </w:p>
    <w:p w:rsidR="002659EA" w:rsidRPr="002659EA" w:rsidRDefault="002659EA" w:rsidP="00646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9EA" w:rsidRPr="002659EA" w:rsidRDefault="006466C1" w:rsidP="006466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в Себеусадском сельском поселении»</w:t>
      </w:r>
      <w:r w:rsidRPr="00265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2023-2027 годы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6466C1" w:rsidRDefault="006466C1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6466C1" w:rsidRDefault="006466C1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6466C1" w:rsidRDefault="006466C1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6466C1" w:rsidRDefault="006466C1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6466C1" w:rsidRPr="002659EA" w:rsidRDefault="006466C1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Паспорт программы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691"/>
        <w:gridCol w:w="6784"/>
      </w:tblGrid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6466C1">
              <w:rPr>
                <w:rFonts w:ascii="Times New Roman" w:hAnsi="Times New Roman"/>
                <w:sz w:val="28"/>
                <w:szCs w:val="28"/>
              </w:rPr>
              <w:t>Комплексное развитие систем коммунальной инфраструктуры в Себеусадском сельском поселении»</w:t>
            </w:r>
            <w:r w:rsidR="006466C1" w:rsidRPr="00265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на 2023-2027 годы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  от  30.12.2004  №  210-ФЗ «Об основах регулирования тарифов организаций коммунального комплекса», Федеральный закон от 06.10.2003 № 131-ФЗ "Об общих принципах организации местного самоуправления в Российской Федерации"</w:t>
            </w:r>
            <w:proofErr w:type="gramStart"/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Градостроительный кодекс Российской Федерации, </w:t>
            </w:r>
            <w:r w:rsidRPr="002659EA">
              <w:rPr>
                <w:rFonts w:ascii="Times New Roman" w:hAnsi="Times New Roman"/>
                <w:bCs/>
                <w:sz w:val="28"/>
                <w:szCs w:val="28"/>
              </w:rPr>
              <w:t>Стратегия  социально-экономического  развития муниципального образования «Моркинский муниципальный район» на  2010-2025 годы, утвержденная Постановлением администрации муниципального образования «Моркинский муниципальный район» от 15.02.2010 г. № 92.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6466C1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Себеусадская сельская администрация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6466C1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Себеусадская сельская администрация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59E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Основными целями Программы являются: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приведение в соответствие системы коммунальной инфраструктуры потребностям жилищного и промышленного строительства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 строительство и (или) модернизация коммунальной инфраструктуры и объектов коммунального хозяйства, в том числе  объектов </w:t>
            </w:r>
            <w:proofErr w:type="spellStart"/>
            <w:r w:rsidRPr="002659EA">
              <w:rPr>
                <w:rFonts w:ascii="Times New Roman" w:hAnsi="Times New Roman"/>
                <w:sz w:val="28"/>
                <w:szCs w:val="28"/>
              </w:rPr>
              <w:t>вод</w:t>
            </w:r>
            <w:proofErr w:type="gramStart"/>
            <w:r w:rsidRPr="002659E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659EA">
              <w:rPr>
                <w:rFonts w:ascii="Times New Roman" w:hAnsi="Times New Roman"/>
                <w:sz w:val="28"/>
                <w:szCs w:val="28"/>
              </w:rPr>
              <w:t>,газо</w:t>
            </w:r>
            <w:proofErr w:type="spellEnd"/>
            <w:r w:rsidRPr="002659EA">
              <w:rPr>
                <w:rFonts w:ascii="Times New Roman" w:hAnsi="Times New Roman"/>
                <w:sz w:val="28"/>
                <w:szCs w:val="28"/>
              </w:rPr>
              <w:t>-, теплоснабжения.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-организация </w:t>
            </w:r>
            <w:proofErr w:type="spellStart"/>
            <w:r w:rsidRPr="002659EA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gramStart"/>
            <w:r w:rsidRPr="002659E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659E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659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659EA">
              <w:rPr>
                <w:rFonts w:ascii="Times New Roman" w:hAnsi="Times New Roman"/>
                <w:sz w:val="28"/>
                <w:szCs w:val="28"/>
              </w:rPr>
              <w:t>водо</w:t>
            </w:r>
            <w:proofErr w:type="spellEnd"/>
            <w:r w:rsidRPr="002659EA">
              <w:rPr>
                <w:rFonts w:ascii="Times New Roman" w:hAnsi="Times New Roman"/>
                <w:sz w:val="28"/>
                <w:szCs w:val="28"/>
              </w:rPr>
              <w:t xml:space="preserve">, электроснабжения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Моркинского района.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59EA">
              <w:rPr>
                <w:rFonts w:ascii="Times New Roman" w:hAnsi="Times New Roman"/>
                <w:b/>
                <w:i/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повышение  эффективности функционирования коммунальных систем;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 развитие  системы   коммунальной инфраструктуры 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Себеусадского сельского поселения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 xml:space="preserve">;                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 коммунальных   услуг, предоставляемых потребителям</w:t>
            </w:r>
            <w:proofErr w:type="gramStart"/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  планового   и  опережающего инженерного обеспечения  земельных участков под жилищное и промышленное строительство;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района;                    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   источников     привлечения сре</w:t>
            </w:r>
            <w:proofErr w:type="gramStart"/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>дств  дл</w:t>
            </w:r>
            <w:proofErr w:type="gramEnd"/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 развития  систем коммунальной инфраструктуры района в интересах жилищного и промышленного строительства;       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       инвестиций           в жилищно-коммунальный комплекс;           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Срок реализации Программы 20</w:t>
            </w:r>
            <w:r w:rsidR="006466C1">
              <w:rPr>
                <w:rFonts w:ascii="Times New Roman" w:hAnsi="Times New Roman"/>
                <w:sz w:val="28"/>
                <w:szCs w:val="28"/>
              </w:rPr>
              <w:t>23-2027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 по развитию системы коммунального водоснабжения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Себеусадского сельского поселения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 по развитию системы коммунального газоснабжения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Себеусадского сельского поселения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 по развитию системы коммунального электроснабжения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Себеусадского сельского поселения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 по развитию системы коммунального водоотведения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Себеусадского сельского поселения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 по развитию системы  теплоснабжения </w:t>
            </w:r>
            <w:r w:rsidR="006466C1">
              <w:rPr>
                <w:rFonts w:ascii="Times New Roman" w:hAnsi="Times New Roman"/>
                <w:sz w:val="28"/>
                <w:szCs w:val="28"/>
              </w:rPr>
              <w:t>Себеусадского сельского поселения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строительство автомобильных дорог.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6466C1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Себеусадская сельская администрация,</w:t>
            </w:r>
            <w:r w:rsidR="002659EA" w:rsidRPr="002659EA">
              <w:rPr>
                <w:rFonts w:ascii="Times New Roman" w:hAnsi="Times New Roman"/>
                <w:sz w:val="28"/>
                <w:szCs w:val="28"/>
              </w:rPr>
              <w:t xml:space="preserve"> организации коммунального комплекса, подрядные организации на основе договорных отношений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будет осуществляться за счет средств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-муниципального бюджета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-внебюджетных источников (собственных и заемных средств муниципальных предприятий, за счет надбавок к тарифам, тарифов на подключение).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привлечение (по согласованию) инвестиций сторонних организаций.</w:t>
            </w:r>
          </w:p>
        </w:tc>
      </w:tr>
      <w:tr w:rsidR="002659EA" w:rsidRPr="002659EA" w:rsidTr="00E114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Ожидаемыми результатами  программы является:</w:t>
            </w:r>
            <w:r w:rsidRPr="002659EA">
              <w:rPr>
                <w:rFonts w:ascii="Times New Roman" w:hAnsi="Times New Roman"/>
                <w:sz w:val="28"/>
                <w:szCs w:val="28"/>
              </w:rPr>
              <w:br/>
              <w:t xml:space="preserve">- создание        системы        коммунальной инфраструктуры </w:t>
            </w:r>
            <w:r w:rsidR="00BD73D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 xml:space="preserve">,    обеспечивающей предоставление   качественных  коммунальных услуг, а     также     отвечающей    экологическим требованием  и потребностям  жилищного   и промышленного  строительства в </w:t>
            </w:r>
            <w:r w:rsidR="00BD73DB"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Pr="002659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 xml:space="preserve"> - повышение качества предоставляемых потребителям коммунальных услуг    </w:t>
            </w:r>
          </w:p>
          <w:p w:rsidR="002659EA" w:rsidRPr="002659EA" w:rsidRDefault="002659EA" w:rsidP="002659E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 и развитие первичного рынка жилья</w:t>
            </w:r>
          </w:p>
        </w:tc>
      </w:tr>
    </w:tbl>
    <w:p w:rsidR="006674D4" w:rsidRDefault="006674D4" w:rsidP="00557A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5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1. ОСНОВАНИЕ ДЛЯ РАЗРАБОТКИ ПРОГРАММЫ</w:t>
      </w:r>
    </w:p>
    <w:p w:rsidR="002659EA" w:rsidRPr="002659EA" w:rsidRDefault="002659EA" w:rsidP="00557AF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Муниципальная целевая программа «</w:t>
      </w:r>
      <w:r w:rsidR="00BD73DB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в Себеусадском сельском поселении»</w:t>
      </w:r>
      <w:r w:rsidR="00BD73DB" w:rsidRPr="002659EA">
        <w:rPr>
          <w:rFonts w:ascii="Times New Roman" w:hAnsi="Times New Roman"/>
          <w:sz w:val="28"/>
          <w:szCs w:val="28"/>
        </w:rPr>
        <w:t xml:space="preserve"> </w:t>
      </w:r>
      <w:r w:rsidR="00BD73DB">
        <w:rPr>
          <w:rFonts w:ascii="Times New Roman" w:hAnsi="Times New Roman"/>
          <w:sz w:val="28"/>
          <w:szCs w:val="28"/>
        </w:rPr>
        <w:t>на 2023-2027 годы</w:t>
      </w:r>
      <w:r w:rsidRPr="002659EA">
        <w:rPr>
          <w:rFonts w:ascii="Times New Roman" w:hAnsi="Times New Roman"/>
          <w:sz w:val="28"/>
          <w:szCs w:val="28"/>
        </w:rPr>
        <w:t>.» (далее именуется – Программа) разработана во исполнение требований Федерального закона от 30.12.2004г. № 210-ФЗ «Об основах регулирования тарифов организаций коммунального комплекса»,</w:t>
      </w:r>
      <w:r w:rsidRPr="002659E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</w:t>
      </w:r>
      <w:proofErr w:type="gramStart"/>
      <w:r w:rsidRPr="002659E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659EA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</w:t>
      </w:r>
      <w:r w:rsidRPr="002659EA">
        <w:rPr>
          <w:rFonts w:ascii="Times New Roman" w:hAnsi="Times New Roman"/>
          <w:sz w:val="28"/>
          <w:szCs w:val="28"/>
        </w:rPr>
        <w:t xml:space="preserve"> в соответствии со </w:t>
      </w:r>
      <w:r w:rsidRPr="002659EA">
        <w:rPr>
          <w:rFonts w:ascii="Times New Roman" w:hAnsi="Times New Roman"/>
          <w:bCs/>
          <w:sz w:val="28"/>
          <w:szCs w:val="28"/>
        </w:rPr>
        <w:t xml:space="preserve">Стратегией  социально-экономического  развития муниципального образования «Моркинский муниципальный район» на 2010-2025 годы </w:t>
      </w:r>
      <w:proofErr w:type="gramStart"/>
      <w:r w:rsidRPr="002659EA">
        <w:rPr>
          <w:rFonts w:ascii="Times New Roman" w:hAnsi="Times New Roman"/>
          <w:bCs/>
          <w:sz w:val="28"/>
          <w:szCs w:val="28"/>
        </w:rPr>
        <w:t>утвержденная</w:t>
      </w:r>
      <w:proofErr w:type="gramEnd"/>
      <w:r w:rsidRPr="002659EA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муниципального образования «Моркинский муниципальный район» от 15.02.2010 г. № 92.</w:t>
      </w:r>
      <w:r w:rsidRPr="002659E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659EA" w:rsidRPr="002659EA" w:rsidRDefault="002659EA" w:rsidP="0055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Программа необходима для разработки инвестиционных программ организаций коммунального комплекса с целью предоставления   качественных  коммунальных услуг всем потребителям при тарифах, обеспечивающих как финансовые потребности поставщиков для их устойчивого планомерного развития, так и доступность для всех категорий потребителей.</w:t>
      </w:r>
    </w:p>
    <w:p w:rsidR="002659EA" w:rsidRPr="002659EA" w:rsidRDefault="002659EA" w:rsidP="0055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Реализация Программы будет </w:t>
      </w:r>
      <w:proofErr w:type="gramStart"/>
      <w:r w:rsidRPr="002659EA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2659EA">
        <w:rPr>
          <w:rFonts w:ascii="Times New Roman" w:hAnsi="Times New Roman"/>
          <w:sz w:val="28"/>
          <w:szCs w:val="28"/>
        </w:rPr>
        <w:t xml:space="preserve"> в том числе развитию малого и среднего бизнеса, развитию деловой репутации предприятий, развитие предприятий приведет к увеличению бюджетных поступлений, к созданию новых рабочих мест, увеличению жилищного фонда </w:t>
      </w:r>
      <w:r w:rsidR="00BD73DB">
        <w:rPr>
          <w:rFonts w:ascii="Times New Roman" w:hAnsi="Times New Roman"/>
          <w:sz w:val="28"/>
          <w:szCs w:val="28"/>
        </w:rPr>
        <w:t>поселения</w:t>
      </w:r>
      <w:r w:rsidRPr="002659EA">
        <w:rPr>
          <w:rFonts w:ascii="Times New Roman" w:hAnsi="Times New Roman"/>
          <w:sz w:val="28"/>
          <w:szCs w:val="28"/>
        </w:rPr>
        <w:t>, повышению качества коммунальных услуг.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2.СОДЕРЖАНИЕ ПРОБЛЕМЫ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И ОБОСНОВАНИЕ НЕОБХОДИМОСТИ ЕЕ РЕШЕНИЯ</w:t>
      </w:r>
    </w:p>
    <w:p w:rsidR="002659EA" w:rsidRPr="002659EA" w:rsidRDefault="002659EA" w:rsidP="002659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Население </w:t>
      </w:r>
      <w:r w:rsidR="007D6718">
        <w:rPr>
          <w:rFonts w:ascii="Times New Roman" w:hAnsi="Times New Roman"/>
          <w:sz w:val="28"/>
          <w:szCs w:val="28"/>
        </w:rPr>
        <w:t xml:space="preserve">Себеусадского сельского поселения </w:t>
      </w:r>
      <w:r w:rsidRPr="002659EA">
        <w:rPr>
          <w:rFonts w:ascii="Times New Roman" w:hAnsi="Times New Roman"/>
          <w:sz w:val="28"/>
          <w:szCs w:val="28"/>
        </w:rPr>
        <w:t>на 01.01.20</w:t>
      </w:r>
      <w:r w:rsidR="007D6718">
        <w:rPr>
          <w:rFonts w:ascii="Times New Roman" w:hAnsi="Times New Roman"/>
          <w:sz w:val="28"/>
          <w:szCs w:val="28"/>
        </w:rPr>
        <w:t>23</w:t>
      </w:r>
      <w:r w:rsidR="00A211E2">
        <w:rPr>
          <w:rFonts w:ascii="Times New Roman" w:hAnsi="Times New Roman"/>
          <w:sz w:val="28"/>
          <w:szCs w:val="28"/>
        </w:rPr>
        <w:t xml:space="preserve"> г. составляет 2205</w:t>
      </w:r>
      <w:r w:rsidRPr="002659EA">
        <w:rPr>
          <w:rFonts w:ascii="Times New Roman" w:hAnsi="Times New Roman"/>
          <w:sz w:val="28"/>
          <w:szCs w:val="28"/>
        </w:rPr>
        <w:t xml:space="preserve"> человек. 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Общая площадь жилого фонда составляет 45</w:t>
      </w:r>
      <w:r w:rsidR="00A211E2">
        <w:rPr>
          <w:rFonts w:ascii="Times New Roman" w:hAnsi="Times New Roman"/>
          <w:sz w:val="28"/>
          <w:szCs w:val="28"/>
        </w:rPr>
        <w:t>72</w:t>
      </w:r>
      <w:r w:rsidRPr="002659EA">
        <w:rPr>
          <w:rFonts w:ascii="Times New Roman" w:hAnsi="Times New Roman"/>
          <w:sz w:val="28"/>
          <w:szCs w:val="28"/>
        </w:rPr>
        <w:t>0 кв. м.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Протяженность сетей водоснабжения составляет </w:t>
      </w:r>
      <w:r w:rsidR="000276C3">
        <w:rPr>
          <w:rFonts w:ascii="Times New Roman" w:hAnsi="Times New Roman"/>
          <w:sz w:val="28"/>
          <w:szCs w:val="28"/>
        </w:rPr>
        <w:t>14,7</w:t>
      </w:r>
      <w:r w:rsidRPr="002659EA">
        <w:rPr>
          <w:rFonts w:ascii="Times New Roman" w:hAnsi="Times New Roman"/>
          <w:sz w:val="28"/>
          <w:szCs w:val="28"/>
        </w:rPr>
        <w:t xml:space="preserve">  км.</w:t>
      </w:r>
    </w:p>
    <w:p w:rsidR="002659EA" w:rsidRPr="002659EA" w:rsidRDefault="002659EA" w:rsidP="002659E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659EA">
        <w:rPr>
          <w:rFonts w:ascii="Times New Roman" w:hAnsi="Times New Roman"/>
          <w:b/>
          <w:sz w:val="28"/>
          <w:szCs w:val="28"/>
        </w:rPr>
        <w:t xml:space="preserve"> </w:t>
      </w:r>
      <w:r w:rsidRPr="002659EA">
        <w:rPr>
          <w:rFonts w:ascii="Times New Roman" w:hAnsi="Times New Roman"/>
          <w:sz w:val="28"/>
          <w:szCs w:val="28"/>
        </w:rPr>
        <w:t xml:space="preserve">         2.</w:t>
      </w:r>
      <w:r w:rsidRPr="002659EA">
        <w:rPr>
          <w:rFonts w:ascii="Times New Roman" w:hAnsi="Times New Roman"/>
          <w:b/>
          <w:bCs/>
          <w:sz w:val="28"/>
          <w:szCs w:val="28"/>
        </w:rPr>
        <w:t>1. Ключевые проблемы водоснабжения.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6E20F9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6E20F9">
        <w:rPr>
          <w:rFonts w:ascii="Times New Roman" w:hAnsi="Times New Roman"/>
          <w:sz w:val="28"/>
          <w:szCs w:val="28"/>
        </w:rPr>
        <w:t>По поселе</w:t>
      </w:r>
      <w:r w:rsidR="000276C3" w:rsidRPr="006E20F9">
        <w:rPr>
          <w:rFonts w:ascii="Times New Roman" w:hAnsi="Times New Roman"/>
          <w:sz w:val="28"/>
          <w:szCs w:val="28"/>
        </w:rPr>
        <w:t>нию в 24 населенных пунктах в 92</w:t>
      </w:r>
      <w:r w:rsidRPr="006E20F9">
        <w:rPr>
          <w:rFonts w:ascii="Times New Roman" w:hAnsi="Times New Roman"/>
          <w:sz w:val="28"/>
          <w:szCs w:val="28"/>
        </w:rPr>
        <w:t xml:space="preserve">6 домах проживает </w:t>
      </w:r>
      <w:r w:rsidR="000276C3" w:rsidRPr="006E20F9">
        <w:rPr>
          <w:rFonts w:ascii="Times New Roman" w:hAnsi="Times New Roman"/>
          <w:sz w:val="28"/>
          <w:szCs w:val="28"/>
        </w:rPr>
        <w:t>2205</w:t>
      </w:r>
      <w:r w:rsidRPr="006E20F9">
        <w:rPr>
          <w:rFonts w:ascii="Times New Roman" w:hAnsi="Times New Roman"/>
          <w:sz w:val="28"/>
          <w:szCs w:val="28"/>
        </w:rPr>
        <w:t xml:space="preserve"> человек, из них только в 8 населенных пунктах численностью </w:t>
      </w:r>
      <w:r w:rsidR="006E20F9" w:rsidRPr="006E20F9">
        <w:rPr>
          <w:rFonts w:ascii="Times New Roman" w:hAnsi="Times New Roman"/>
          <w:sz w:val="28"/>
          <w:szCs w:val="28"/>
        </w:rPr>
        <w:t>779</w:t>
      </w:r>
      <w:r w:rsidRPr="006E20F9">
        <w:rPr>
          <w:rFonts w:ascii="Times New Roman" w:hAnsi="Times New Roman"/>
          <w:sz w:val="28"/>
          <w:szCs w:val="28"/>
        </w:rPr>
        <w:t xml:space="preserve"> человек пользуется централизованным водоснабжением, </w:t>
      </w:r>
      <w:r w:rsidR="006E20F9" w:rsidRPr="006E20F9">
        <w:rPr>
          <w:rFonts w:ascii="Times New Roman" w:hAnsi="Times New Roman"/>
          <w:sz w:val="28"/>
          <w:szCs w:val="28"/>
        </w:rPr>
        <w:t>где процент охвата составляет 35</w:t>
      </w:r>
      <w:r w:rsidRPr="006E20F9">
        <w:rPr>
          <w:rFonts w:ascii="Times New Roman" w:hAnsi="Times New Roman"/>
          <w:sz w:val="28"/>
          <w:szCs w:val="28"/>
        </w:rPr>
        <w:t xml:space="preserve"> %. А остальные – из нецентрализованных источников водоснабжения. Протяженность сетей водоснабжения </w:t>
      </w:r>
      <w:r w:rsidR="006E20F9" w:rsidRPr="006E20F9">
        <w:rPr>
          <w:rFonts w:ascii="Times New Roman" w:hAnsi="Times New Roman"/>
          <w:sz w:val="28"/>
          <w:szCs w:val="28"/>
        </w:rPr>
        <w:t>14,7</w:t>
      </w:r>
      <w:r w:rsidRPr="006E20F9">
        <w:rPr>
          <w:rFonts w:ascii="Times New Roman" w:hAnsi="Times New Roman"/>
          <w:sz w:val="28"/>
          <w:szCs w:val="28"/>
        </w:rPr>
        <w:t xml:space="preserve"> км. Состояние большинства систем водоснабжения,  не отвечает предъявляемым к ним требованиям.</w:t>
      </w:r>
      <w:r w:rsidRPr="006E20F9">
        <w:rPr>
          <w:rFonts w:ascii="Times New Roman" w:hAnsi="Times New Roman"/>
          <w:sz w:val="28"/>
          <w:szCs w:val="28"/>
        </w:rPr>
        <w:tab/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Имеющиеся сети водопровода, водозаборы имеют более 60% износа, реконструкция и капитальный ремонт которых требуют значительных капитальных вложений.  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b/>
          <w:sz w:val="28"/>
          <w:szCs w:val="28"/>
        </w:rPr>
      </w:pPr>
      <w:r w:rsidRPr="002659EA">
        <w:rPr>
          <w:rFonts w:ascii="Times New Roman" w:hAnsi="Times New Roman"/>
          <w:b/>
          <w:sz w:val="28"/>
          <w:szCs w:val="28"/>
        </w:rPr>
        <w:t xml:space="preserve">2.2. </w:t>
      </w:r>
      <w:r w:rsidRPr="002659EA">
        <w:rPr>
          <w:rFonts w:ascii="Times New Roman" w:hAnsi="Times New Roman"/>
          <w:b/>
          <w:bCs/>
          <w:sz w:val="28"/>
          <w:szCs w:val="28"/>
        </w:rPr>
        <w:t>Ключевые проблемы</w:t>
      </w:r>
      <w:r w:rsidRPr="002659EA">
        <w:rPr>
          <w:rFonts w:ascii="Times New Roman" w:hAnsi="Times New Roman"/>
          <w:b/>
          <w:sz w:val="28"/>
          <w:szCs w:val="28"/>
        </w:rPr>
        <w:t xml:space="preserve"> газоснабжения.</w:t>
      </w:r>
    </w:p>
    <w:p w:rsidR="002659EA" w:rsidRPr="002659EA" w:rsidRDefault="002659EA" w:rsidP="002659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На сегодняшний день населенные пункты </w:t>
      </w:r>
      <w:r w:rsidR="006E20F9">
        <w:rPr>
          <w:rFonts w:ascii="Times New Roman" w:hAnsi="Times New Roman"/>
          <w:sz w:val="28"/>
          <w:szCs w:val="28"/>
        </w:rPr>
        <w:t>Себеусадского сельского поселения</w:t>
      </w:r>
      <w:r w:rsidRPr="002659EA">
        <w:rPr>
          <w:rFonts w:ascii="Times New Roman" w:hAnsi="Times New Roman"/>
          <w:sz w:val="28"/>
          <w:szCs w:val="28"/>
        </w:rPr>
        <w:t xml:space="preserve"> не газифицированы. Уровень газификации составляет 0%. 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Запланировать газификацию населенных пунктов Большой </w:t>
      </w:r>
      <w:proofErr w:type="spellStart"/>
      <w:r w:rsidRPr="002659EA">
        <w:rPr>
          <w:rFonts w:ascii="Times New Roman" w:hAnsi="Times New Roman"/>
          <w:sz w:val="28"/>
          <w:szCs w:val="28"/>
        </w:rPr>
        <w:t>Кожлаял</w:t>
      </w:r>
      <w:proofErr w:type="spellEnd"/>
      <w:r w:rsidRPr="002659EA">
        <w:rPr>
          <w:rFonts w:ascii="Times New Roman" w:hAnsi="Times New Roman"/>
          <w:sz w:val="28"/>
          <w:szCs w:val="28"/>
        </w:rPr>
        <w:t xml:space="preserve">, Малый </w:t>
      </w:r>
      <w:proofErr w:type="spellStart"/>
      <w:r w:rsidRPr="002659EA">
        <w:rPr>
          <w:rFonts w:ascii="Times New Roman" w:hAnsi="Times New Roman"/>
          <w:sz w:val="28"/>
          <w:szCs w:val="28"/>
        </w:rPr>
        <w:t>Кожлаял</w:t>
      </w:r>
      <w:proofErr w:type="spellEnd"/>
      <w:r w:rsidRPr="002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9EA">
        <w:rPr>
          <w:rFonts w:ascii="Times New Roman" w:hAnsi="Times New Roman"/>
          <w:sz w:val="28"/>
          <w:szCs w:val="28"/>
        </w:rPr>
        <w:t>Апанаево</w:t>
      </w:r>
      <w:proofErr w:type="spellEnd"/>
      <w:r w:rsidRPr="002659EA">
        <w:rPr>
          <w:rFonts w:ascii="Times New Roman" w:hAnsi="Times New Roman"/>
          <w:sz w:val="28"/>
          <w:szCs w:val="28"/>
        </w:rPr>
        <w:t xml:space="preserve">, Себеусад, Чодрасола,  Тыгыде Морко, Починок </w:t>
      </w:r>
      <w:proofErr w:type="spellStart"/>
      <w:r w:rsidRPr="002659EA">
        <w:rPr>
          <w:rFonts w:ascii="Times New Roman" w:hAnsi="Times New Roman"/>
          <w:sz w:val="28"/>
          <w:szCs w:val="28"/>
        </w:rPr>
        <w:t>Азъял</w:t>
      </w:r>
      <w:proofErr w:type="spellEnd"/>
      <w:r w:rsidRPr="002659EA">
        <w:rPr>
          <w:rFonts w:ascii="Times New Roman" w:hAnsi="Times New Roman"/>
          <w:sz w:val="28"/>
          <w:szCs w:val="28"/>
        </w:rPr>
        <w:t xml:space="preserve">, Смычка, </w:t>
      </w:r>
      <w:proofErr w:type="spellStart"/>
      <w:r w:rsidRPr="002659EA">
        <w:rPr>
          <w:rFonts w:ascii="Times New Roman" w:hAnsi="Times New Roman"/>
          <w:sz w:val="28"/>
          <w:szCs w:val="28"/>
        </w:rPr>
        <w:t>Лопнур</w:t>
      </w:r>
      <w:proofErr w:type="spellEnd"/>
      <w:r w:rsidRPr="002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9EA">
        <w:rPr>
          <w:rFonts w:ascii="Times New Roman" w:hAnsi="Times New Roman"/>
          <w:sz w:val="28"/>
          <w:szCs w:val="28"/>
        </w:rPr>
        <w:t>Янгушево</w:t>
      </w:r>
      <w:proofErr w:type="spellEnd"/>
      <w:r w:rsidRPr="00265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9EA">
        <w:rPr>
          <w:rFonts w:ascii="Times New Roman" w:hAnsi="Times New Roman"/>
          <w:sz w:val="28"/>
          <w:szCs w:val="28"/>
        </w:rPr>
        <w:t>Пумор</w:t>
      </w:r>
      <w:proofErr w:type="spellEnd"/>
      <w:r w:rsidRPr="002659EA">
        <w:rPr>
          <w:rFonts w:ascii="Times New Roman" w:hAnsi="Times New Roman"/>
          <w:sz w:val="28"/>
          <w:szCs w:val="28"/>
        </w:rPr>
        <w:t>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b/>
          <w:sz w:val="28"/>
          <w:szCs w:val="28"/>
        </w:rPr>
      </w:pPr>
      <w:r w:rsidRPr="002659EA">
        <w:rPr>
          <w:rFonts w:ascii="Times New Roman" w:hAnsi="Times New Roman"/>
          <w:b/>
          <w:sz w:val="28"/>
          <w:szCs w:val="28"/>
        </w:rPr>
        <w:t xml:space="preserve">2.3. </w:t>
      </w:r>
      <w:r w:rsidRPr="002659EA">
        <w:rPr>
          <w:rFonts w:ascii="Times New Roman" w:hAnsi="Times New Roman"/>
          <w:b/>
          <w:bCs/>
          <w:sz w:val="28"/>
          <w:szCs w:val="28"/>
        </w:rPr>
        <w:t>Ключевые проблемы</w:t>
      </w:r>
      <w:r w:rsidRPr="002659EA">
        <w:rPr>
          <w:rFonts w:ascii="Times New Roman" w:hAnsi="Times New Roman"/>
          <w:b/>
          <w:sz w:val="28"/>
          <w:szCs w:val="28"/>
        </w:rPr>
        <w:t xml:space="preserve"> электроснабжения.</w:t>
      </w:r>
    </w:p>
    <w:p w:rsid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 Основной задачей развития электрических сетей является обеспечение надежного, безопасного и эффективного электроснабжения потребителей при снижении электроемкости производства продукции и создание комфортных социально-бытовых условий жизни.</w:t>
      </w:r>
    </w:p>
    <w:p w:rsidR="006674D4" w:rsidRPr="006674D4" w:rsidRDefault="006674D4" w:rsidP="006674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4D4">
        <w:rPr>
          <w:rFonts w:ascii="Times New Roman" w:hAnsi="Times New Roman"/>
          <w:sz w:val="28"/>
          <w:szCs w:val="28"/>
        </w:rPr>
        <w:t>Программа предусматривает следующие мероприятия в области развития электрических сетей:</w:t>
      </w:r>
    </w:p>
    <w:p w:rsidR="006674D4" w:rsidRPr="006674D4" w:rsidRDefault="006674D4" w:rsidP="006674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4D4">
        <w:rPr>
          <w:rFonts w:ascii="Times New Roman" w:hAnsi="Times New Roman"/>
          <w:sz w:val="28"/>
          <w:szCs w:val="28"/>
        </w:rPr>
        <w:t>     - обеспечение бесперебойного снабжения электроэнергией населения и других потребителей.</w:t>
      </w:r>
    </w:p>
    <w:p w:rsidR="006674D4" w:rsidRPr="006674D4" w:rsidRDefault="006674D4" w:rsidP="006674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74D4">
        <w:rPr>
          <w:rFonts w:ascii="Times New Roman" w:hAnsi="Times New Roman"/>
          <w:sz w:val="28"/>
          <w:szCs w:val="28"/>
        </w:rPr>
        <w:t>     -повышение качества потребляемой электроэнергии.</w:t>
      </w:r>
      <w:r w:rsidRPr="006674D4">
        <w:rPr>
          <w:rFonts w:ascii="Times New Roman" w:hAnsi="Times New Roman"/>
          <w:sz w:val="28"/>
          <w:szCs w:val="28"/>
        </w:rPr>
        <w:br/>
        <w:t>     Реализация мероприятий согласно приложению позволит повысить надежность и эффективность электроснабжения населения.</w:t>
      </w:r>
    </w:p>
    <w:p w:rsidR="002659EA" w:rsidRPr="006674D4" w:rsidRDefault="002659EA" w:rsidP="006674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74D4">
        <w:rPr>
          <w:rFonts w:ascii="Times New Roman" w:hAnsi="Times New Roman"/>
          <w:sz w:val="28"/>
          <w:szCs w:val="28"/>
        </w:rPr>
        <w:t>  </w:t>
      </w: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74D4">
        <w:rPr>
          <w:rFonts w:ascii="Times New Roman" w:hAnsi="Times New Roman"/>
          <w:b/>
          <w:sz w:val="28"/>
          <w:szCs w:val="28"/>
        </w:rPr>
        <w:t>Выводы.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Необходимо выделить мероприятия развития коммунального комплекса в целом:</w:t>
      </w: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Модернизация и реконструкция существующих сетей.</w:t>
      </w: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На сегодняшний день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 Износ основных фондов организаций коммунального комплекса составляет более 70% и продолжает увеличиваться, что снижает надежность и устойчивость систем инженерного оборудования. В течение последних лет практически не обновлялось основное технологическое оборудование энергоемких производственных предприятий. До настоящего времени не создан реальный механизм стимулирования ресурсосбережения, а также привлечения инвестиций в данную отрасль.  Из-за ветхости коммуникационных (инженерных) сетей значительно превышены нормативы потерь энергоресурсов.</w:t>
      </w: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       Состояние коммунального хозяйства характеризуется неудовлетворительным финансовым положением, отсутствием экономических стимулов снижения издержек на производство коммунальных ресурсов, неразвитостью конкурентной среды и, как следствие, высокой степенью износа основных фондов, </w:t>
      </w:r>
      <w:r w:rsidRPr="00430695">
        <w:rPr>
          <w:rFonts w:ascii="Times New Roman" w:hAnsi="Times New Roman"/>
          <w:sz w:val="28"/>
          <w:szCs w:val="28"/>
        </w:rPr>
        <w:t>неэффективной работой предприятий,</w:t>
      </w:r>
      <w:r w:rsidRPr="002659EA">
        <w:rPr>
          <w:rFonts w:ascii="Times New Roman" w:hAnsi="Times New Roman"/>
          <w:sz w:val="28"/>
          <w:szCs w:val="28"/>
        </w:rPr>
        <w:t xml:space="preserve"> большими потерями энергии, воды и других ресурсов.  </w:t>
      </w: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Все это свидетельствует о наличии в отрасли острой потребности в данной  Программе и координированных действий по ее реализации.</w:t>
      </w:r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2659EA">
        <w:rPr>
          <w:rFonts w:ascii="Times New Roman" w:hAnsi="Times New Roman"/>
          <w:sz w:val="28"/>
          <w:szCs w:val="28"/>
        </w:rPr>
        <w:t>Программа  предусматривает активизацию жилищного строительства, обеспечение всеми видами энергоресурсов земельных участков, отведенных под перспективную жилую застройку, повышение качества предоставления коммунальных услуг, стабилизацию и снижение расходов, включаемых в тарифы организации коммунального комплекса,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улучшение экологической обстановки.</w:t>
      </w:r>
      <w:proofErr w:type="gramEnd"/>
    </w:p>
    <w:p w:rsidR="002659EA" w:rsidRPr="002659EA" w:rsidRDefault="002659EA" w:rsidP="004306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</w:t>
      </w:r>
      <w:r w:rsidR="00430695">
        <w:rPr>
          <w:rFonts w:ascii="Times New Roman" w:hAnsi="Times New Roman"/>
          <w:sz w:val="28"/>
          <w:szCs w:val="28"/>
        </w:rPr>
        <w:t xml:space="preserve">        </w:t>
      </w:r>
      <w:r w:rsidRPr="002659EA"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снабжения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внебюджетных средств, в том числе частных инвестиций.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3.ОСНОВНЫЕ ЦЕЛИ ПРОГРАММЫ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1. Комплексное решение проблемы обеспечит: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- переход к устойчивому функционированию и развитию коммунальной инфраструктуры </w:t>
      </w:r>
      <w:r w:rsidR="00CE53B5">
        <w:rPr>
          <w:rFonts w:ascii="Times New Roman" w:hAnsi="Times New Roman"/>
          <w:sz w:val="28"/>
          <w:szCs w:val="28"/>
        </w:rPr>
        <w:t>поселения</w:t>
      </w:r>
      <w:r w:rsidRPr="002659EA">
        <w:rPr>
          <w:rFonts w:ascii="Times New Roman" w:hAnsi="Times New Roman"/>
          <w:sz w:val="28"/>
          <w:szCs w:val="28"/>
        </w:rPr>
        <w:t>;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обеспечение потребностей развивающегося производственного комплекса в коммунальных услугах;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- развитие систем жилищно-коммунального хозяйства </w:t>
      </w:r>
      <w:r w:rsidR="00CE53B5">
        <w:rPr>
          <w:rFonts w:ascii="Times New Roman" w:hAnsi="Times New Roman"/>
          <w:sz w:val="28"/>
          <w:szCs w:val="28"/>
        </w:rPr>
        <w:t>поселения;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- развитие сферы жилищного строительства </w:t>
      </w:r>
      <w:r w:rsidR="00CE53B5">
        <w:rPr>
          <w:rFonts w:ascii="Times New Roman" w:hAnsi="Times New Roman"/>
          <w:sz w:val="28"/>
          <w:szCs w:val="28"/>
        </w:rPr>
        <w:t>поселения</w:t>
      </w:r>
      <w:r w:rsidRPr="002659EA">
        <w:rPr>
          <w:rFonts w:ascii="Times New Roman" w:hAnsi="Times New Roman"/>
          <w:sz w:val="28"/>
          <w:szCs w:val="28"/>
        </w:rPr>
        <w:t>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Улучшение качества жилищно-коммунальных услуг с одновременным снижением нерациональных затрат.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Повышение уровня благоустройства.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Определение количества и стоимости строительства, ремонта и (или) реконструкции инженерных сетей.</w:t>
      </w: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2659EA">
      <w:pPr>
        <w:pStyle w:val="a3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4.ОСНОВНЫЕ ЗАДАЧИ ПРОГРАММЫ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1. 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определение технических заданий предприятиям коммунального комплекса для включения соответствующих мероприятий в их инвестиционные программы;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согласование предприятиям коммунального комплекса производственных программ;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привлечение кредитных и инвестиционных средств в обеспечение реализации утвержденных  производственных программ;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формирование тарифов на подключение к сетям коммунального комплекса.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2. Повышение качества и надежности предоставления коммунальных услуг,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сокращение количества аварий и отказов в работе оборудования;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уменьшение потерь в системах коммунальной инфраструктуры;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замена морально устаревшего и физически изношенного оборудования;</w:t>
      </w:r>
    </w:p>
    <w:p w:rsidR="002659EA" w:rsidRPr="002659EA" w:rsidRDefault="006674D4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59EA" w:rsidRPr="002659EA">
        <w:rPr>
          <w:rFonts w:ascii="Times New Roman" w:hAnsi="Times New Roman"/>
          <w:sz w:val="28"/>
          <w:szCs w:val="28"/>
        </w:rPr>
        <w:t>обеспечение надежности функционирования систем коммунальной инфраструктуры;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улучшение экологической ситуации на территории района;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увеличение мощности и пропускной способности систем коммунальной инфраструктуры;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-обеспечение земельных участков под комплексное жилищное строительство инженерной инфраструктурой. 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</w:t>
      </w:r>
      <w:r w:rsidRPr="002659EA">
        <w:rPr>
          <w:rFonts w:ascii="Times New Roman" w:hAnsi="Times New Roman"/>
          <w:sz w:val="28"/>
          <w:szCs w:val="28"/>
        </w:rPr>
        <w:tab/>
      </w:r>
      <w:r w:rsidRPr="002659EA">
        <w:rPr>
          <w:rFonts w:ascii="Times New Roman" w:hAnsi="Times New Roman"/>
          <w:sz w:val="28"/>
          <w:szCs w:val="28"/>
        </w:rPr>
        <w:tab/>
      </w:r>
      <w:r w:rsidRPr="002659EA">
        <w:rPr>
          <w:rFonts w:ascii="Times New Roman" w:hAnsi="Times New Roman"/>
          <w:sz w:val="28"/>
          <w:szCs w:val="28"/>
        </w:rPr>
        <w:tab/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5.СРОКИ И ЭТАПЫ РЕАЛИЗАЦИИ ПРОГРАММЫ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  Программа будет вып</w:t>
      </w:r>
      <w:r w:rsidR="00117472">
        <w:rPr>
          <w:rFonts w:ascii="Times New Roman" w:hAnsi="Times New Roman"/>
          <w:sz w:val="28"/>
          <w:szCs w:val="28"/>
        </w:rPr>
        <w:t>олняться поэтапно в течение 2023-2027</w:t>
      </w:r>
      <w:r w:rsidRPr="002659EA">
        <w:rPr>
          <w:rFonts w:ascii="Times New Roman" w:hAnsi="Times New Roman"/>
          <w:sz w:val="28"/>
          <w:szCs w:val="28"/>
        </w:rPr>
        <w:t xml:space="preserve"> годы.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На первом этапе (2</w:t>
      </w:r>
      <w:r w:rsidR="00117472">
        <w:rPr>
          <w:rFonts w:ascii="Times New Roman" w:hAnsi="Times New Roman"/>
          <w:sz w:val="28"/>
          <w:szCs w:val="28"/>
        </w:rPr>
        <w:t>023</w:t>
      </w:r>
      <w:r w:rsidRPr="002659EA">
        <w:rPr>
          <w:rFonts w:ascii="Times New Roman" w:hAnsi="Times New Roman"/>
          <w:sz w:val="28"/>
          <w:szCs w:val="28"/>
        </w:rPr>
        <w:t>-202</w:t>
      </w:r>
      <w:r w:rsidR="00117472">
        <w:rPr>
          <w:rFonts w:ascii="Times New Roman" w:hAnsi="Times New Roman"/>
          <w:sz w:val="28"/>
          <w:szCs w:val="28"/>
        </w:rPr>
        <w:t>5</w:t>
      </w:r>
      <w:r w:rsidRPr="002659EA">
        <w:rPr>
          <w:rFonts w:ascii="Times New Roman" w:hAnsi="Times New Roman"/>
          <w:sz w:val="28"/>
          <w:szCs w:val="28"/>
        </w:rPr>
        <w:t xml:space="preserve"> годы) будут реализованы следующие мероприятия: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формирование нормативно-правовой базы для осуществления и реализации Программы;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разработка и утверждение целевых программ развития жилищного строительства, коммунального хозяйства;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исполнение части мероприятий в рамках данной Программы;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- рассмотрение и утверждение инвестиционных программ организаций коммунального комплекса. 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117472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втором этапе (2026-2027</w:t>
      </w:r>
      <w:r w:rsidR="002659EA" w:rsidRPr="002659EA">
        <w:rPr>
          <w:rFonts w:ascii="Times New Roman" w:hAnsi="Times New Roman"/>
          <w:sz w:val="28"/>
          <w:szCs w:val="28"/>
        </w:rPr>
        <w:t xml:space="preserve"> годы) будет реализован основной блок мероприятий Программы по реализации инвестиционных программ организаций коммунального комплекса и исполнению мероприятий в рамках данной Программы.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6.ПЕРЕЧЕНЬ ПРОГРАММНЫХ МЕРОПРИЯТИЙ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И ИСТОЧНИКИ ФИНАСИРОВАНИЯ.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Программные мероприятия сгруппированы по следующим разделам: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1.Водоснабжение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2.Строительство автомобильных дорог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3. Газоснабжение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В сфере обеспечения каждым из коммунальных ресурсов выделены мероприятия, направленные на строительство новых производственных объектов и сетей и мероприятия по реконструкции и модернизации существующих систем.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Система программных мероприятий приведена в Приложении 1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Основными источниками финансирования являются: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сред</w:t>
      </w:r>
      <w:r w:rsidR="007D60BF">
        <w:rPr>
          <w:rFonts w:ascii="Times New Roman" w:hAnsi="Times New Roman"/>
          <w:sz w:val="28"/>
          <w:szCs w:val="28"/>
        </w:rPr>
        <w:t>ства республиканского бюджета (</w:t>
      </w:r>
      <w:r w:rsidRPr="002659EA">
        <w:rPr>
          <w:rFonts w:ascii="Times New Roman" w:hAnsi="Times New Roman"/>
          <w:sz w:val="28"/>
          <w:szCs w:val="28"/>
        </w:rPr>
        <w:t xml:space="preserve">при условии их выделения),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средства муниципального бюджета,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внебюджетные источники (собственных и заемных средств муниципальных предприятий, за счет надбавок к тарифам, тарифов на подключение),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привлечение инвестиций сторонних организаций (по согласованию).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Источники финансирования  приведены в Приложении 2.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7.ОЦЕНКА ЭФФЕКТИВНОСТИ ПРОГРАММЫ.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</w:t>
      </w:r>
      <w:r w:rsidR="00117472">
        <w:rPr>
          <w:rFonts w:ascii="Times New Roman" w:hAnsi="Times New Roman"/>
          <w:sz w:val="28"/>
          <w:szCs w:val="28"/>
        </w:rPr>
        <w:t>поселения</w:t>
      </w:r>
      <w:r w:rsidRPr="002659EA">
        <w:rPr>
          <w:rFonts w:ascii="Times New Roman" w:hAnsi="Times New Roman"/>
          <w:sz w:val="28"/>
          <w:szCs w:val="28"/>
        </w:rPr>
        <w:t xml:space="preserve">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 потребителей; строительные организации и пр.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     Технологическими результатами реализации мероприятий Программы комплексного развития  предполагается: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2659EA">
        <w:rPr>
          <w:rFonts w:ascii="Times New Roman" w:hAnsi="Times New Roman"/>
          <w:sz w:val="28"/>
          <w:szCs w:val="28"/>
        </w:rPr>
        <w:t xml:space="preserve">надежности работы системы коммунальной инфраструктуры </w:t>
      </w:r>
      <w:r w:rsidR="00117472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659EA">
        <w:rPr>
          <w:rFonts w:ascii="Times New Roman" w:hAnsi="Times New Roman"/>
          <w:sz w:val="28"/>
          <w:szCs w:val="28"/>
        </w:rPr>
        <w:t>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- снижение  потерь коммунальных  ресурсов в производственном процессе.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 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>8.  МЕХАНИЗМ РЕАЛИЗАЦИИ И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59E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659EA">
        <w:rPr>
          <w:rFonts w:ascii="Times New Roman" w:hAnsi="Times New Roman"/>
          <w:color w:val="000000"/>
          <w:sz w:val="28"/>
          <w:szCs w:val="28"/>
        </w:rPr>
        <w:t xml:space="preserve"> ХОДОМ ВЫПОЛНЕНИЯ ПРОГРАММЫ.</w:t>
      </w:r>
    </w:p>
    <w:p w:rsidR="006674D4" w:rsidRDefault="006674D4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Организация управления и контроль являются важнейшими элементами выполнения Программы.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sz w:val="28"/>
          <w:szCs w:val="28"/>
        </w:rPr>
        <w:t xml:space="preserve">     Оценка хода осуществления программных мероприятий проводится согласно методике проведения мониторинга производственных программ.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Индикаторы мониторинга реализации Программы: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- ввод жилья (тыс. кв. м);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- количество земельных участков выделенных для жилищного строительства, обеспеченных коммунальной инфраструктурой;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- количество подготовленных технических заданий для разработки инвестиционных программ предприятиям коммунального комплекса;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- количество разработанных и утвержденных инвестиционных программ организаций коммунального комплекса.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>- уровень аварийности сет</w:t>
      </w:r>
      <w:r w:rsidR="00225479">
        <w:rPr>
          <w:rFonts w:ascii="Times New Roman" w:hAnsi="Times New Roman"/>
          <w:color w:val="000000"/>
          <w:sz w:val="28"/>
          <w:szCs w:val="28"/>
        </w:rPr>
        <w:t>ей</w:t>
      </w:r>
      <w:r w:rsidRPr="002659EA">
        <w:rPr>
          <w:rFonts w:ascii="Times New Roman" w:hAnsi="Times New Roman"/>
          <w:color w:val="000000"/>
          <w:sz w:val="28"/>
          <w:szCs w:val="28"/>
        </w:rPr>
        <w:t>;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>- уровень обновления сетей и оборудования.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Основными задачами управления реализацией Программы являются: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- обеспечение скоординированных действий по реализации Программы в соответствии с приоритетами социально-экономического развития поселения;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- обеспечение эффективного и целевого использования финансовых ресурсов; 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>- принятие исчерпывающих мер по  привлечению инвестиционных ресурсов.</w:t>
      </w:r>
    </w:p>
    <w:p w:rsidR="002659EA" w:rsidRPr="002659EA" w:rsidRDefault="002659EA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659EA">
        <w:rPr>
          <w:rFonts w:ascii="Times New Roman" w:hAnsi="Times New Roman"/>
          <w:color w:val="000000"/>
          <w:sz w:val="28"/>
          <w:szCs w:val="28"/>
        </w:rPr>
        <w:t xml:space="preserve">         Мониторинг выполнения производственных и инвестиционных программ организаций коммунального комплекса проводится бухгалтером </w:t>
      </w:r>
      <w:r w:rsidR="00117472">
        <w:rPr>
          <w:rFonts w:ascii="Times New Roman" w:hAnsi="Times New Roman"/>
          <w:color w:val="000000"/>
          <w:sz w:val="28"/>
          <w:szCs w:val="28"/>
        </w:rPr>
        <w:t>Себеусадской сельской администрации</w:t>
      </w:r>
      <w:r w:rsidRPr="002659EA"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Pr="002659EA">
        <w:rPr>
          <w:rFonts w:ascii="Times New Roman" w:hAnsi="Times New Roman"/>
          <w:sz w:val="28"/>
          <w:szCs w:val="28"/>
        </w:rPr>
        <w:t>ежегодно до 15 марта</w:t>
      </w:r>
      <w:r w:rsidRPr="002659EA">
        <w:rPr>
          <w:rFonts w:ascii="Times New Roman" w:hAnsi="Times New Roman"/>
          <w:color w:val="000000"/>
          <w:sz w:val="28"/>
          <w:szCs w:val="28"/>
        </w:rPr>
        <w:t xml:space="preserve"> готовит отчет.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состояния и развитии соответствующих систем коммунальной инфраструктуры. </w:t>
      </w:r>
    </w:p>
    <w:p w:rsidR="002659EA" w:rsidRPr="002659EA" w:rsidRDefault="00117472" w:rsidP="005D785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Себеусадская сельская администрация </w:t>
      </w:r>
      <w:r w:rsidR="002659EA" w:rsidRPr="002659EA">
        <w:rPr>
          <w:rFonts w:ascii="Times New Roman" w:hAnsi="Times New Roman"/>
          <w:color w:val="000000"/>
          <w:sz w:val="28"/>
          <w:szCs w:val="28"/>
        </w:rPr>
        <w:t xml:space="preserve">ежегодно отчитывается перед Собранием депутатов </w:t>
      </w:r>
      <w:r>
        <w:rPr>
          <w:rFonts w:ascii="Times New Roman" w:hAnsi="Times New Roman"/>
          <w:color w:val="000000"/>
          <w:sz w:val="28"/>
          <w:szCs w:val="28"/>
        </w:rPr>
        <w:t>Себеусадского сельского поселения</w:t>
      </w:r>
      <w:r w:rsidR="002659EA" w:rsidRPr="002659EA">
        <w:rPr>
          <w:rFonts w:ascii="Times New Roman" w:hAnsi="Times New Roman"/>
          <w:color w:val="000000"/>
          <w:sz w:val="28"/>
          <w:szCs w:val="28"/>
        </w:rPr>
        <w:t xml:space="preserve"> о ходе реализации Программы.</w:t>
      </w:r>
    </w:p>
    <w:p w:rsidR="002659EA" w:rsidRDefault="002659EA" w:rsidP="002659EA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2659EA" w:rsidRDefault="002659EA" w:rsidP="002659EA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2659EA" w:rsidRDefault="002659EA">
      <w:pPr>
        <w:rPr>
          <w:rFonts w:ascii="Times New Roman" w:hAnsi="Times New Roman" w:cs="Times New Roman"/>
        </w:rPr>
        <w:sectPr w:rsidR="002659EA" w:rsidSect="00015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395" w:type="dxa"/>
        <w:tblInd w:w="-176" w:type="dxa"/>
        <w:tblLayout w:type="fixed"/>
        <w:tblLook w:val="04A0"/>
      </w:tblPr>
      <w:tblGrid>
        <w:gridCol w:w="356"/>
        <w:gridCol w:w="212"/>
        <w:gridCol w:w="5694"/>
        <w:gridCol w:w="1854"/>
        <w:gridCol w:w="1690"/>
        <w:gridCol w:w="797"/>
        <w:gridCol w:w="313"/>
        <w:gridCol w:w="516"/>
        <w:gridCol w:w="817"/>
        <w:gridCol w:w="841"/>
        <w:gridCol w:w="851"/>
        <w:gridCol w:w="1061"/>
        <w:gridCol w:w="640"/>
        <w:gridCol w:w="201"/>
        <w:gridCol w:w="851"/>
        <w:gridCol w:w="1701"/>
      </w:tblGrid>
      <w:tr w:rsidR="002659EA" w:rsidRPr="000F0930" w:rsidTr="000F0930">
        <w:trPr>
          <w:trHeight w:val="225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2659EA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6674D4">
            <w:pPr>
              <w:pStyle w:val="a3"/>
              <w:rPr>
                <w:rFonts w:ascii="Times New Roman" w:hAnsi="Times New Roman"/>
              </w:rPr>
            </w:pPr>
            <w:r w:rsidRPr="000F0930">
              <w:rPr>
                <w:rFonts w:ascii="Times New Roman" w:hAnsi="Times New Roman"/>
              </w:rPr>
              <w:t xml:space="preserve">Приложение № 1 к постановлению </w:t>
            </w:r>
            <w:r w:rsidR="009346D6" w:rsidRPr="000F0930">
              <w:rPr>
                <w:rFonts w:ascii="Times New Roman" w:hAnsi="Times New Roman"/>
              </w:rPr>
              <w:t xml:space="preserve">«Комплексное развитие систем коммунальной инфраструктуры в Себеусадском сельском поселении» на 2023-2027 годы" </w:t>
            </w:r>
            <w:r w:rsidRPr="000F0930">
              <w:rPr>
                <w:rFonts w:ascii="Times New Roman" w:hAnsi="Times New Roman"/>
              </w:rPr>
              <w:t xml:space="preserve">от </w:t>
            </w:r>
            <w:r w:rsidR="009346D6" w:rsidRPr="000F0930">
              <w:rPr>
                <w:rFonts w:ascii="Times New Roman" w:hAnsi="Times New Roman"/>
              </w:rPr>
              <w:t xml:space="preserve">  </w:t>
            </w:r>
            <w:r w:rsidR="006674D4" w:rsidRPr="000F0930">
              <w:rPr>
                <w:rFonts w:ascii="Times New Roman" w:hAnsi="Times New Roman"/>
              </w:rPr>
              <w:t xml:space="preserve">21 июня </w:t>
            </w:r>
            <w:r w:rsidRPr="000F0930">
              <w:rPr>
                <w:rFonts w:ascii="Times New Roman" w:hAnsi="Times New Roman"/>
              </w:rPr>
              <w:t>20</w:t>
            </w:r>
            <w:r w:rsidR="009346D6" w:rsidRPr="000F0930">
              <w:rPr>
                <w:rFonts w:ascii="Times New Roman" w:hAnsi="Times New Roman"/>
              </w:rPr>
              <w:t>23</w:t>
            </w:r>
            <w:r w:rsidR="0022730B" w:rsidRPr="000F0930">
              <w:rPr>
                <w:rFonts w:ascii="Times New Roman" w:hAnsi="Times New Roman"/>
              </w:rPr>
              <w:t xml:space="preserve">  </w:t>
            </w:r>
            <w:r w:rsidRPr="000F0930">
              <w:rPr>
                <w:rFonts w:ascii="Times New Roman" w:hAnsi="Times New Roman"/>
              </w:rPr>
              <w:t xml:space="preserve">г. № </w:t>
            </w:r>
            <w:r w:rsidR="006674D4" w:rsidRPr="000F0930">
              <w:rPr>
                <w:rFonts w:ascii="Times New Roman" w:hAnsi="Times New Roman"/>
              </w:rPr>
              <w:t>51</w:t>
            </w:r>
            <w:r w:rsidR="00C67A9A" w:rsidRPr="000F0930">
              <w:rPr>
                <w:rFonts w:ascii="Times New Roman" w:hAnsi="Times New Roman"/>
              </w:rPr>
              <w:t>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934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C67A9A" w:rsidP="00C67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Программа мероприятий </w:t>
            </w:r>
            <w:r w:rsidR="002659EA" w:rsidRPr="000F0930">
              <w:rPr>
                <w:rFonts w:ascii="Times New Roman" w:hAnsi="Times New Roman"/>
                <w:sz w:val="28"/>
                <w:szCs w:val="28"/>
              </w:rPr>
              <w:t>муниципальной целевой  программы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rPr>
                <w:rFonts w:ascii="Times New Roman" w:hAnsi="Times New Roman" w:cs="Times New Roman"/>
              </w:rPr>
            </w:pPr>
            <w:r w:rsidRPr="000F0930">
              <w:rPr>
                <w:rFonts w:ascii="Times New Roman" w:hAnsi="Times New Roman" w:cs="Times New Roman"/>
              </w:rPr>
              <w:t xml:space="preserve">"Комплексное развитие систем коммунальной инфраструктуры в </w:t>
            </w:r>
            <w:r w:rsidR="0022730B" w:rsidRPr="000F0930">
              <w:rPr>
                <w:rFonts w:ascii="Times New Roman" w:hAnsi="Times New Roman" w:cs="Times New Roman"/>
              </w:rPr>
              <w:t>Себеусадском сельском поселении на 2023-2027</w:t>
            </w:r>
            <w:r w:rsidRPr="000F0930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2659EA" w:rsidRPr="000F0930" w:rsidTr="00C67A9A">
        <w:trPr>
          <w:gridAfter w:val="3"/>
          <w:wAfter w:w="2753" w:type="dxa"/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</w:tr>
      <w:tr w:rsidR="002659EA" w:rsidRPr="000F0930" w:rsidTr="009346D6">
        <w:trPr>
          <w:gridAfter w:val="3"/>
          <w:wAfter w:w="2753" w:type="dxa"/>
          <w:trHeight w:val="375"/>
        </w:trPr>
        <w:tc>
          <w:tcPr>
            <w:tcW w:w="6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A" w:rsidRPr="000F0930" w:rsidRDefault="002659EA" w:rsidP="001C11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Наименование объекта и его местонахождение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Намечаемый объем работ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59EA" w:rsidRPr="000F0930" w:rsidRDefault="002659EA" w:rsidP="001C11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Стоимость работ всего  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F09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F093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1C11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Стоимость работ по годам,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F09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F093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A" w:rsidRPr="000F0930" w:rsidRDefault="002659EA" w:rsidP="001C11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2659EA" w:rsidRPr="000F0930" w:rsidTr="00C67A9A">
        <w:trPr>
          <w:gridAfter w:val="3"/>
          <w:wAfter w:w="2753" w:type="dxa"/>
          <w:trHeight w:val="325"/>
        </w:trPr>
        <w:tc>
          <w:tcPr>
            <w:tcW w:w="6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2730B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273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20</w:t>
            </w:r>
            <w:r w:rsidR="0022730B" w:rsidRPr="000F093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2730B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2730B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2730B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1C11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1456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456" w:rsidRPr="000F0930" w:rsidRDefault="003416B8" w:rsidP="002659E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E11456" w:rsidRPr="000F0930">
              <w:rPr>
                <w:rFonts w:ascii="Times New Roman" w:hAnsi="Times New Roman"/>
                <w:bCs/>
                <w:sz w:val="28"/>
                <w:szCs w:val="28"/>
              </w:rPr>
              <w:t>Водоснабжение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4,078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3874,1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56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Cs/>
                <w:sz w:val="28"/>
                <w:szCs w:val="28"/>
              </w:rPr>
              <w:t xml:space="preserve">капитальный ремонт водопроводной сети </w:t>
            </w:r>
            <w:proofErr w:type="spellStart"/>
            <w:r w:rsidRPr="000F093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0F0930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Pr="000F0930">
              <w:rPr>
                <w:rFonts w:ascii="Times New Roman" w:hAnsi="Times New Roman"/>
                <w:bCs/>
                <w:sz w:val="28"/>
                <w:szCs w:val="28"/>
              </w:rPr>
              <w:t>ебеусад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4,078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Cs/>
                <w:sz w:val="28"/>
                <w:szCs w:val="28"/>
              </w:rPr>
              <w:t>3874,1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456" w:rsidRPr="000F0930" w:rsidRDefault="00E11456" w:rsidP="001C115F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="002659EA"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Газоснабжение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жилых домов в д. Тыгыде Морко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3,76 км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19733,6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90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Газоснабжение жилых домов в д.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Лопнур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0,57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2145,7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17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жилых домов в д. Смычка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0,97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5060,85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21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Газоснабжение жилых домов в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Янгушево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0,51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E1145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2252,32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11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Газоснабжение д. </w:t>
            </w:r>
            <w:proofErr w:type="gramStart"/>
            <w:r w:rsidRPr="000F0930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gramEnd"/>
            <w:r w:rsidRPr="000F0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Кожлаял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2,16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E11456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11336,33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43 дома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Газоснабжение д. Малый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Кожлаял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2,09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E11456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10961,95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52 дома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жилых домов д. Тишкино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0,54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E11456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2834,1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14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9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жилых домов д. Себеусад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4,81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495E23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25244,32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72 дома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жилых домов д. Чодрасола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2,8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495E23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14695,21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60домов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9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F093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F0930">
              <w:rPr>
                <w:rFonts w:ascii="Times New Roman" w:hAnsi="Times New Roman"/>
                <w:sz w:val="28"/>
                <w:szCs w:val="28"/>
              </w:rPr>
              <w:t>умор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0,9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495E23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4723,46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Газоснабжение 20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3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sz w:val="28"/>
                <w:szCs w:val="28"/>
              </w:rPr>
              <w:t xml:space="preserve"> Итого по газоснабжению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sz w:val="28"/>
                <w:szCs w:val="28"/>
              </w:rPr>
              <w:t>19,11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495E23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98987,84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400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66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3416B8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="002659EA"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Строительство автомобильных дорог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E11456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47 км. Автомобильной дороги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Ургакш</w:t>
            </w:r>
            <w:proofErr w:type="spellEnd"/>
            <w:r w:rsidRPr="000F0930">
              <w:rPr>
                <w:rFonts w:ascii="Times New Roman" w:hAnsi="Times New Roman"/>
                <w:sz w:val="28"/>
                <w:szCs w:val="28"/>
              </w:rPr>
              <w:t xml:space="preserve"> - Ронг</w:t>
            </w:r>
            <w:proofErr w:type="gramStart"/>
            <w:r w:rsidRPr="000F093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F0930">
              <w:rPr>
                <w:rFonts w:ascii="Times New Roman" w:hAnsi="Times New Roman"/>
                <w:sz w:val="28"/>
                <w:szCs w:val="28"/>
              </w:rPr>
              <w:t xml:space="preserve"> Морки - Чодрасола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E11456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0,6</w:t>
            </w:r>
            <w:r w:rsidR="002659EA" w:rsidRPr="000F0930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495E23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4290,0</w:t>
            </w:r>
          </w:p>
          <w:p w:rsidR="00C67A9A" w:rsidRPr="000F0930" w:rsidRDefault="00C67A9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52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47 км. Автомобильной дороги </w:t>
            </w:r>
            <w:proofErr w:type="spellStart"/>
            <w:r w:rsidRPr="000F0930">
              <w:rPr>
                <w:rFonts w:ascii="Times New Roman" w:hAnsi="Times New Roman"/>
                <w:sz w:val="28"/>
                <w:szCs w:val="28"/>
              </w:rPr>
              <w:t>Ургакш</w:t>
            </w:r>
            <w:proofErr w:type="spellEnd"/>
            <w:r w:rsidRPr="000F0930">
              <w:rPr>
                <w:rFonts w:ascii="Times New Roman" w:hAnsi="Times New Roman"/>
                <w:sz w:val="28"/>
                <w:szCs w:val="28"/>
              </w:rPr>
              <w:t xml:space="preserve"> - Ронг</w:t>
            </w:r>
            <w:proofErr w:type="gramStart"/>
            <w:r w:rsidRPr="000F093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F0930">
              <w:rPr>
                <w:rFonts w:ascii="Times New Roman" w:hAnsi="Times New Roman"/>
                <w:sz w:val="28"/>
                <w:szCs w:val="28"/>
              </w:rPr>
              <w:t xml:space="preserve"> Морки - Смычка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1,3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495E23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1980,0</w:t>
            </w:r>
          </w:p>
          <w:p w:rsidR="00C67A9A" w:rsidRPr="000F0930" w:rsidRDefault="00C67A9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21 домов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sz w:val="28"/>
                <w:szCs w:val="28"/>
              </w:rPr>
              <w:t>Итого по строительству автомобильных дорог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E11456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sz w:val="28"/>
                <w:szCs w:val="28"/>
              </w:rPr>
              <w:t>1,9</w:t>
            </w:r>
            <w:r w:rsidR="003416B8" w:rsidRPr="000F0930">
              <w:rPr>
                <w:rFonts w:ascii="Times New Roman" w:hAnsi="Times New Roman"/>
                <w:b/>
                <w:sz w:val="28"/>
                <w:szCs w:val="28"/>
              </w:rPr>
              <w:t xml:space="preserve"> км.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495E23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sz w:val="28"/>
                <w:szCs w:val="28"/>
              </w:rPr>
              <w:t>6270,0</w:t>
            </w:r>
          </w:p>
          <w:p w:rsidR="00C67A9A" w:rsidRPr="000F0930" w:rsidRDefault="00C67A9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73 дома</w:t>
            </w:r>
          </w:p>
        </w:tc>
      </w:tr>
      <w:tr w:rsidR="002659EA" w:rsidRPr="000F0930" w:rsidTr="000F0930">
        <w:trPr>
          <w:gridAfter w:val="3"/>
          <w:wAfter w:w="2753" w:type="dxa"/>
          <w:trHeight w:val="6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659EA" w:rsidRPr="000F0930" w:rsidTr="000F0930">
        <w:trPr>
          <w:gridAfter w:val="3"/>
          <w:wAfter w:w="2753" w:type="dxa"/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3416B8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2659EA"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9EA" w:rsidRPr="000F0930" w:rsidRDefault="003416B8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109131,94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1C115F" w:rsidRPr="000F0930" w:rsidRDefault="001C115F" w:rsidP="000F0930">
      <w:pPr>
        <w:pStyle w:val="a3"/>
        <w:shd w:val="clear" w:color="auto" w:fill="FFFFFF" w:themeFill="background1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2659EA" w:rsidRPr="000F0930" w:rsidRDefault="002659EA" w:rsidP="000F0930">
      <w:pPr>
        <w:pStyle w:val="a3"/>
        <w:shd w:val="clear" w:color="auto" w:fill="FFFFFF" w:themeFill="background1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1C115F" w:rsidRPr="000F0930" w:rsidRDefault="001C115F" w:rsidP="000F0930">
      <w:pPr>
        <w:pStyle w:val="a3"/>
        <w:shd w:val="clear" w:color="auto" w:fill="FFFFFF" w:themeFill="background1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9346D6" w:rsidRPr="000F0930" w:rsidRDefault="009346D6" w:rsidP="000F0930">
      <w:pPr>
        <w:pStyle w:val="a3"/>
        <w:shd w:val="clear" w:color="auto" w:fill="FFFFFF" w:themeFill="background1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9346D6" w:rsidRPr="000F0930" w:rsidRDefault="009346D6" w:rsidP="002659EA">
      <w:pPr>
        <w:pStyle w:val="a3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9346D6" w:rsidRPr="000F0930" w:rsidRDefault="009346D6" w:rsidP="002659EA">
      <w:pPr>
        <w:pStyle w:val="a3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1C115F" w:rsidRPr="000F0930" w:rsidRDefault="009346D6" w:rsidP="009346D6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F0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Приложение 2</w:t>
      </w:r>
    </w:p>
    <w:tbl>
      <w:tblPr>
        <w:tblW w:w="14317" w:type="dxa"/>
        <w:tblInd w:w="675" w:type="dxa"/>
        <w:tblLook w:val="04A0"/>
      </w:tblPr>
      <w:tblGrid>
        <w:gridCol w:w="880"/>
        <w:gridCol w:w="2501"/>
        <w:gridCol w:w="1729"/>
        <w:gridCol w:w="2167"/>
        <w:gridCol w:w="1792"/>
        <w:gridCol w:w="1988"/>
        <w:gridCol w:w="3260"/>
      </w:tblGrid>
      <w:tr w:rsidR="002659EA" w:rsidRPr="000F0930" w:rsidTr="001C115F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9EA" w:rsidRPr="000F0930" w:rsidRDefault="002659EA" w:rsidP="000F09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2659EA" w:rsidRPr="000F0930" w:rsidTr="001C115F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9EA" w:rsidRPr="000F0930" w:rsidRDefault="0022730B" w:rsidP="000F09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программных</w:t>
            </w:r>
            <w:r w:rsidR="002659EA" w:rsidRPr="000F0930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2659EA" w:rsidRPr="000F0930" w:rsidTr="001C115F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0F09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муниципальной целевой  программы "Комплексное развитие систем коммунальной инфраструктуры</w:t>
            </w:r>
            <w:r w:rsidR="0022730B" w:rsidRPr="000F0930">
              <w:rPr>
                <w:rFonts w:ascii="Times New Roman" w:hAnsi="Times New Roman"/>
                <w:sz w:val="28"/>
                <w:szCs w:val="28"/>
              </w:rPr>
              <w:t xml:space="preserve"> в Себеусадском сельском поселении» на 2023-2027 годы</w:t>
            </w:r>
          </w:p>
        </w:tc>
      </w:tr>
      <w:tr w:rsidR="002659EA" w:rsidRPr="000F0930" w:rsidTr="001C115F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  <w:r w:rsidRPr="000F09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09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0930">
              <w:rPr>
                <w:rFonts w:ascii="Times New Roman" w:hAnsi="Times New Roman"/>
              </w:rPr>
              <w:t>/</w:t>
            </w:r>
            <w:proofErr w:type="spellStart"/>
            <w:r w:rsidRPr="000F09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9346D6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О</w:t>
            </w:r>
            <w:r w:rsidR="002659EA" w:rsidRPr="000F0930">
              <w:rPr>
                <w:rFonts w:ascii="Times New Roman" w:hAnsi="Times New Roman"/>
                <w:sz w:val="28"/>
                <w:szCs w:val="28"/>
              </w:rPr>
              <w:t xml:space="preserve">бъем </w:t>
            </w:r>
            <w:proofErr w:type="spellStart"/>
            <w:r w:rsidR="002659EA" w:rsidRPr="000F0930">
              <w:rPr>
                <w:rFonts w:ascii="Times New Roman" w:hAnsi="Times New Roman"/>
                <w:sz w:val="28"/>
                <w:szCs w:val="28"/>
              </w:rPr>
              <w:t>финанси-рования-всего</w:t>
            </w:r>
            <w:proofErr w:type="spellEnd"/>
          </w:p>
        </w:tc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2659EA" w:rsidRPr="000F0930" w:rsidTr="009346D6">
        <w:trPr>
          <w:trHeight w:val="7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9346D6" w:rsidRPr="000F093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346D6" w:rsidRPr="000F09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346D6" w:rsidRPr="000F093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внебюджетные источники при условии выделения)</w:t>
            </w:r>
          </w:p>
        </w:tc>
      </w:tr>
      <w:tr w:rsidR="002659EA" w:rsidRPr="000F0930" w:rsidTr="009346D6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</w:rPr>
            </w:pPr>
            <w:r w:rsidRPr="000F0930">
              <w:rPr>
                <w:rFonts w:ascii="Times New Roman" w:hAnsi="Times New Roman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EA" w:rsidRPr="000F0930" w:rsidRDefault="002659EA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0F0930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0F0930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0F0930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0F0930" w:rsidRDefault="003416B8" w:rsidP="002659E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0F0930" w:rsidRDefault="003416B8" w:rsidP="006674D4">
            <w:pPr>
              <w:pStyle w:val="a3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0F0930">
              <w:rPr>
                <w:rFonts w:ascii="Times New Roman" w:hAnsi="Times New Roman"/>
                <w:b/>
                <w:bCs/>
                <w:sz w:val="28"/>
                <w:szCs w:val="28"/>
              </w:rPr>
              <w:t>109131,94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9E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9E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9E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9E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273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273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  <w:r w:rsidRPr="002659EA"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3416B8" w:rsidRDefault="003416B8" w:rsidP="002659E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416B8">
              <w:rPr>
                <w:rFonts w:ascii="Times New Roman" w:hAnsi="Times New Roman"/>
                <w:b/>
                <w:bCs/>
                <w:sz w:val="28"/>
                <w:szCs w:val="28"/>
              </w:rPr>
              <w:t>3874,1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  <w:r w:rsidRPr="002659EA"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98987,84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  <w:r w:rsidRPr="002659EA"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0F0930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="003416B8" w:rsidRPr="002659EA">
              <w:rPr>
                <w:rFonts w:ascii="Times New Roman" w:hAnsi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16B8">
              <w:rPr>
                <w:rFonts w:ascii="Times New Roman" w:hAnsi="Times New Roman"/>
                <w:b/>
                <w:sz w:val="28"/>
                <w:szCs w:val="28"/>
              </w:rPr>
              <w:t>6270,0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59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6B8" w:rsidRPr="002659EA" w:rsidTr="009346D6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E11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B8" w:rsidRPr="002659EA" w:rsidRDefault="003416B8" w:rsidP="002659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B97" w:rsidRPr="002659EA" w:rsidRDefault="00015B97">
      <w:pPr>
        <w:rPr>
          <w:rFonts w:ascii="Times New Roman" w:hAnsi="Times New Roman" w:cs="Times New Roman"/>
        </w:rPr>
      </w:pPr>
    </w:p>
    <w:sectPr w:rsidR="00015B97" w:rsidRPr="002659EA" w:rsidSect="001C11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659EA"/>
    <w:rsid w:val="00015B97"/>
    <w:rsid w:val="000276C3"/>
    <w:rsid w:val="000F0930"/>
    <w:rsid w:val="00117472"/>
    <w:rsid w:val="001C115F"/>
    <w:rsid w:val="00225479"/>
    <w:rsid w:val="0022730B"/>
    <w:rsid w:val="002659EA"/>
    <w:rsid w:val="003416B8"/>
    <w:rsid w:val="00430695"/>
    <w:rsid w:val="00495E23"/>
    <w:rsid w:val="004F7546"/>
    <w:rsid w:val="00557AF3"/>
    <w:rsid w:val="005D785A"/>
    <w:rsid w:val="006466C1"/>
    <w:rsid w:val="00661196"/>
    <w:rsid w:val="006674D4"/>
    <w:rsid w:val="006E20F9"/>
    <w:rsid w:val="007C035F"/>
    <w:rsid w:val="007D60BF"/>
    <w:rsid w:val="007D6718"/>
    <w:rsid w:val="00883FEC"/>
    <w:rsid w:val="009346D6"/>
    <w:rsid w:val="009609C3"/>
    <w:rsid w:val="00A211E2"/>
    <w:rsid w:val="00A40C13"/>
    <w:rsid w:val="00B35317"/>
    <w:rsid w:val="00BA54A7"/>
    <w:rsid w:val="00BD73DB"/>
    <w:rsid w:val="00C67A9A"/>
    <w:rsid w:val="00CE53B5"/>
    <w:rsid w:val="00E11456"/>
    <w:rsid w:val="00E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EA"/>
  </w:style>
  <w:style w:type="paragraph" w:styleId="1">
    <w:name w:val="heading 1"/>
    <w:basedOn w:val="a"/>
    <w:link w:val="10"/>
    <w:qFormat/>
    <w:rsid w:val="0026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5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rsid w:val="002659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659EA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Normal (Web)"/>
    <w:basedOn w:val="a"/>
    <w:rsid w:val="0026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59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659E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F52F-66A8-4E85-9A2E-5C1E5656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2023-06-21T05:19:00Z</cp:lastPrinted>
  <dcterms:created xsi:type="dcterms:W3CDTF">2023-05-22T07:55:00Z</dcterms:created>
  <dcterms:modified xsi:type="dcterms:W3CDTF">2023-06-21T05:25:00Z</dcterms:modified>
</cp:coreProperties>
</file>