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1D39A2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</w:t>
            </w:r>
            <w:r w:rsidR="001D39A2">
              <w:rPr>
                <w:sz w:val="28"/>
                <w:szCs w:val="28"/>
              </w:rPr>
              <w:t>3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</w:t>
      </w:r>
      <w:r w:rsidR="001D39A2">
        <w:rPr>
          <w:szCs w:val="28"/>
        </w:rPr>
        <w:t>5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</w:t>
      </w:r>
      <w:r w:rsidR="001D39A2">
        <w:rPr>
          <w:sz w:val="28"/>
          <w:szCs w:val="28"/>
        </w:rPr>
        <w:t>5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1D39A2">
        <w:rPr>
          <w:szCs w:val="28"/>
        </w:rPr>
        <w:t>5</w:t>
      </w:r>
      <w:r>
        <w:rPr>
          <w:szCs w:val="28"/>
        </w:rPr>
        <w:t xml:space="preserve"> </w:t>
      </w:r>
      <w:r w:rsidR="001D39A2">
        <w:rPr>
          <w:szCs w:val="28"/>
        </w:rPr>
        <w:t>Долгушеву Нину Леонидовну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1D39A2">
        <w:rPr>
          <w:szCs w:val="28"/>
        </w:rPr>
        <w:t>5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</w:t>
      </w:r>
      <w:r w:rsidR="001D39A2">
        <w:rPr>
          <w:szCs w:val="28"/>
        </w:rPr>
        <w:t>5</w:t>
      </w:r>
      <w:r>
        <w:rPr>
          <w:szCs w:val="28"/>
        </w:rPr>
        <w:t xml:space="preserve"> </w:t>
      </w:r>
      <w:r w:rsidR="001D39A2">
        <w:rPr>
          <w:szCs w:val="28"/>
        </w:rPr>
        <w:t>Долгушевой Н.Л.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</w:t>
      </w:r>
      <w:r w:rsidR="001D39A2">
        <w:rPr>
          <w:sz w:val="28"/>
          <w:szCs w:val="28"/>
        </w:rPr>
        <w:t>5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4E1B20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>
      <w:r>
        <w:separator/>
      </w:r>
    </w:p>
  </w:endnote>
  <w:endnote w:type="continuationSeparator" w:id="1">
    <w:p w:rsidR="00EF1783" w:rsidRDefault="00E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>
      <w:r>
        <w:separator/>
      </w:r>
    </w:p>
  </w:footnote>
  <w:footnote w:type="continuationSeparator" w:id="1">
    <w:p w:rsidR="00EF1783" w:rsidRDefault="00E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C356B"/>
    <w:rsid w:val="001D39A2"/>
    <w:rsid w:val="001E254F"/>
    <w:rsid w:val="00231DFB"/>
    <w:rsid w:val="00241BEE"/>
    <w:rsid w:val="002C7168"/>
    <w:rsid w:val="00302581"/>
    <w:rsid w:val="003215CE"/>
    <w:rsid w:val="00333FE1"/>
    <w:rsid w:val="00354B74"/>
    <w:rsid w:val="003551A5"/>
    <w:rsid w:val="00357052"/>
    <w:rsid w:val="0037231B"/>
    <w:rsid w:val="003817AE"/>
    <w:rsid w:val="00396A0A"/>
    <w:rsid w:val="003B291C"/>
    <w:rsid w:val="003E522C"/>
    <w:rsid w:val="00461C0C"/>
    <w:rsid w:val="0048171A"/>
    <w:rsid w:val="00495FBA"/>
    <w:rsid w:val="004A20A8"/>
    <w:rsid w:val="004C0C07"/>
    <w:rsid w:val="004E1B20"/>
    <w:rsid w:val="005051F6"/>
    <w:rsid w:val="00506DC0"/>
    <w:rsid w:val="005249CF"/>
    <w:rsid w:val="00550B5B"/>
    <w:rsid w:val="0055566A"/>
    <w:rsid w:val="00574557"/>
    <w:rsid w:val="005B19B3"/>
    <w:rsid w:val="00614D15"/>
    <w:rsid w:val="00644CEB"/>
    <w:rsid w:val="00662981"/>
    <w:rsid w:val="006B7323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36D26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E3845"/>
    <w:rsid w:val="00BE7B22"/>
    <w:rsid w:val="00BF2B53"/>
    <w:rsid w:val="00D36D92"/>
    <w:rsid w:val="00D81F97"/>
    <w:rsid w:val="00DB47C3"/>
    <w:rsid w:val="00DC07D5"/>
    <w:rsid w:val="00DD0A2B"/>
    <w:rsid w:val="00DD1C90"/>
    <w:rsid w:val="00DF083C"/>
    <w:rsid w:val="00E905AC"/>
    <w:rsid w:val="00EF1783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2023-05-11T07:38:00Z</dcterms:created>
  <dcterms:modified xsi:type="dcterms:W3CDTF">2023-05-11T07:50:00Z</dcterms:modified>
</cp:coreProperties>
</file>