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260026" w:rsidRPr="00260026" w:rsidTr="00F514A1">
        <w:tc>
          <w:tcPr>
            <w:tcW w:w="4215" w:type="dxa"/>
            <w:hideMark/>
          </w:tcPr>
          <w:p w:rsidR="00260026" w:rsidRPr="00260026" w:rsidRDefault="00260026" w:rsidP="00F514A1">
            <w:pPr>
              <w:ind w:left="-48"/>
              <w:jc w:val="center"/>
              <w:rPr>
                <w:b/>
                <w:color w:val="0000FF"/>
                <w:sz w:val="28"/>
                <w:szCs w:val="28"/>
                <w:lang w:eastAsia="ar-SA"/>
              </w:rPr>
            </w:pPr>
            <w:r w:rsidRPr="00260026">
              <w:rPr>
                <w:b/>
                <w:color w:val="0000FF"/>
                <w:sz w:val="28"/>
                <w:szCs w:val="28"/>
              </w:rPr>
              <w:t xml:space="preserve">Ял </w:t>
            </w:r>
            <w:proofErr w:type="spellStart"/>
            <w:r w:rsidRPr="00260026">
              <w:rPr>
                <w:b/>
                <w:color w:val="0000FF"/>
                <w:sz w:val="28"/>
                <w:szCs w:val="28"/>
              </w:rPr>
              <w:t>шотан</w:t>
            </w:r>
            <w:proofErr w:type="spellEnd"/>
            <w:r w:rsidRPr="00260026">
              <w:rPr>
                <w:b/>
                <w:color w:val="0000FF"/>
                <w:sz w:val="28"/>
                <w:szCs w:val="28"/>
              </w:rPr>
              <w:t xml:space="preserve"> Зеленогорск </w:t>
            </w:r>
            <w:proofErr w:type="spellStart"/>
            <w:r w:rsidRPr="00260026"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</w:p>
          <w:p w:rsidR="00260026" w:rsidRPr="00260026" w:rsidRDefault="00260026" w:rsidP="00F514A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60026">
              <w:rPr>
                <w:b/>
                <w:color w:val="0000FF"/>
                <w:sz w:val="28"/>
                <w:szCs w:val="28"/>
              </w:rPr>
              <w:t>депутат–</w:t>
            </w:r>
            <w:proofErr w:type="spellStart"/>
            <w:r w:rsidRPr="00260026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260026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60026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260026" w:rsidRPr="00260026" w:rsidRDefault="00260026" w:rsidP="00F514A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6002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F2D14A8" wp14:editId="1F7E28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4" w:type="dxa"/>
            <w:hideMark/>
          </w:tcPr>
          <w:p w:rsidR="00260026" w:rsidRPr="00260026" w:rsidRDefault="00260026" w:rsidP="00F514A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60026">
              <w:rPr>
                <w:b/>
                <w:color w:val="0000FF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260026" w:rsidRPr="00260026" w:rsidTr="00F514A1">
        <w:tc>
          <w:tcPr>
            <w:tcW w:w="4215" w:type="dxa"/>
          </w:tcPr>
          <w:p w:rsidR="00260026" w:rsidRPr="00260026" w:rsidRDefault="00260026" w:rsidP="00F514A1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260026" w:rsidRPr="00260026" w:rsidRDefault="00260026" w:rsidP="00F514A1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260026" w:rsidRPr="00260026" w:rsidRDefault="00260026" w:rsidP="00F514A1">
            <w:pPr>
              <w:jc w:val="center"/>
              <w:rPr>
                <w:color w:val="0000FF"/>
              </w:rPr>
            </w:pPr>
          </w:p>
        </w:tc>
      </w:tr>
      <w:tr w:rsidR="00260026" w:rsidRPr="00260026" w:rsidTr="00F514A1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026" w:rsidRPr="00260026" w:rsidRDefault="00260026" w:rsidP="00F514A1">
            <w:pPr>
              <w:rPr>
                <w:color w:val="0000FF"/>
                <w:sz w:val="28"/>
                <w:szCs w:val="28"/>
              </w:rPr>
            </w:pPr>
          </w:p>
          <w:p w:rsidR="00260026" w:rsidRPr="00260026" w:rsidRDefault="00260026" w:rsidP="00F514A1">
            <w:pPr>
              <w:rPr>
                <w:color w:val="0000FF"/>
                <w:sz w:val="28"/>
                <w:szCs w:val="28"/>
              </w:rPr>
            </w:pPr>
            <w:r w:rsidRPr="00260026">
              <w:rPr>
                <w:color w:val="0000FF"/>
                <w:sz w:val="28"/>
                <w:szCs w:val="28"/>
              </w:rPr>
              <w:t xml:space="preserve"> № </w:t>
            </w:r>
            <w:r w:rsidR="005F411C">
              <w:rPr>
                <w:color w:val="0000FF"/>
                <w:sz w:val="28"/>
                <w:szCs w:val="28"/>
              </w:rPr>
              <w:t>143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026" w:rsidRPr="00260026" w:rsidRDefault="00260026" w:rsidP="00F514A1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08" w:rsidRDefault="00737F08" w:rsidP="00F514A1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260026" w:rsidRPr="00260026" w:rsidRDefault="00737F08" w:rsidP="00F514A1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13 мая </w:t>
            </w:r>
            <w:r w:rsidR="00260026" w:rsidRPr="00260026">
              <w:rPr>
                <w:color w:val="0000FF"/>
                <w:sz w:val="28"/>
                <w:szCs w:val="28"/>
              </w:rPr>
              <w:t>2022 года</w:t>
            </w:r>
          </w:p>
        </w:tc>
      </w:tr>
    </w:tbl>
    <w:p w:rsidR="00260026" w:rsidRPr="00260026" w:rsidRDefault="00260026" w:rsidP="00260026">
      <w:pPr>
        <w:rPr>
          <w:b/>
          <w:sz w:val="28"/>
          <w:szCs w:val="28"/>
        </w:rPr>
      </w:pPr>
    </w:p>
    <w:p w:rsidR="00260026" w:rsidRDefault="00260026" w:rsidP="00F514A1">
      <w:pPr>
        <w:jc w:val="center"/>
        <w:rPr>
          <w:b/>
          <w:sz w:val="28"/>
          <w:szCs w:val="28"/>
        </w:rPr>
      </w:pPr>
      <w:proofErr w:type="gramStart"/>
      <w:r w:rsidRPr="00260026">
        <w:rPr>
          <w:b/>
          <w:sz w:val="28"/>
          <w:szCs w:val="28"/>
        </w:rPr>
        <w:t>Р</w:t>
      </w:r>
      <w:proofErr w:type="gramEnd"/>
      <w:r w:rsidRPr="00260026">
        <w:rPr>
          <w:b/>
          <w:sz w:val="28"/>
          <w:szCs w:val="28"/>
        </w:rPr>
        <w:t xml:space="preserve"> Е Ш Е Н И Е</w:t>
      </w:r>
    </w:p>
    <w:p w:rsidR="00C00E45" w:rsidRDefault="00C00E45" w:rsidP="00F514A1">
      <w:pPr>
        <w:jc w:val="center"/>
        <w:rPr>
          <w:b/>
          <w:sz w:val="28"/>
          <w:szCs w:val="28"/>
        </w:rPr>
      </w:pPr>
    </w:p>
    <w:p w:rsidR="00C00E45" w:rsidRPr="00C00E45" w:rsidRDefault="00C00E45" w:rsidP="00C00E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r w:rsidRPr="00C00E45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«Зеленогорское сельское поселение» Республики Марий Эл, утвержденные решением Собрания депутатов муниципального образования «Зеленогорское сельское поселение» Республики Марий Эл от «21» февраля 2013 года № 120</w:t>
      </w:r>
    </w:p>
    <w:bookmarkEnd w:id="0"/>
    <w:p w:rsidR="00C00E45" w:rsidRPr="00C00E45" w:rsidRDefault="00C00E45" w:rsidP="00C00E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00E45" w:rsidRPr="00C00E45" w:rsidRDefault="00C00E45" w:rsidP="00C00E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00E45" w:rsidRPr="00C00E45" w:rsidRDefault="00C00E45" w:rsidP="00C00E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C00E45">
        <w:rPr>
          <w:sz w:val="28"/>
          <w:szCs w:val="28"/>
        </w:rPr>
        <w:tab/>
      </w:r>
      <w:proofErr w:type="gramStart"/>
      <w:r w:rsidRPr="00C00E45">
        <w:rPr>
          <w:sz w:val="28"/>
          <w:szCs w:val="20"/>
        </w:rPr>
        <w:t xml:space="preserve">В соответствии с </w:t>
      </w:r>
      <w:hyperlink r:id="rId7" w:history="1">
        <w:r w:rsidRPr="00C00E45">
          <w:rPr>
            <w:sz w:val="28"/>
            <w:szCs w:val="20"/>
          </w:rPr>
          <w:t>Градостроительным кодексом Российской Федерации</w:t>
        </w:r>
      </w:hyperlink>
      <w:r w:rsidRPr="00C00E45">
        <w:rPr>
          <w:sz w:val="28"/>
          <w:szCs w:val="20"/>
        </w:rPr>
        <w:t xml:space="preserve">, Федеральным законом от 30 декабря 2021 года № 476-ФЗ </w:t>
      </w:r>
      <w:r w:rsidRPr="00C00E45">
        <w:rPr>
          <w:sz w:val="28"/>
          <w:szCs w:val="20"/>
        </w:rP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 w:rsidRPr="00C00E45">
        <w:rPr>
          <w:sz w:val="28"/>
          <w:szCs w:val="20"/>
        </w:rPr>
        <w:br/>
        <w:t xml:space="preserve">в Российской Федерации», </w:t>
      </w:r>
      <w:hyperlink r:id="rId8" w:tgtFrame="Logical" w:history="1">
        <w:r w:rsidRPr="00C00E45">
          <w:rPr>
            <w:sz w:val="28"/>
            <w:szCs w:val="20"/>
          </w:rPr>
          <w:t>Уставом</w:t>
        </w:r>
      </w:hyperlink>
      <w:r w:rsidRPr="00C00E45">
        <w:rPr>
          <w:sz w:val="28"/>
          <w:szCs w:val="20"/>
        </w:rPr>
        <w:t xml:space="preserve"> Зеленогорского сельского поселения Собрание депутатов Зеленогорского</w:t>
      </w:r>
      <w:r w:rsidRPr="00C00E45">
        <w:rPr>
          <w:b/>
          <w:sz w:val="28"/>
          <w:szCs w:val="28"/>
        </w:rPr>
        <w:t xml:space="preserve"> </w:t>
      </w:r>
      <w:r w:rsidRPr="00C00E45">
        <w:rPr>
          <w:sz w:val="28"/>
          <w:szCs w:val="20"/>
        </w:rPr>
        <w:t>сельского поселения РЕШИЛО:</w:t>
      </w:r>
      <w:proofErr w:type="gramEnd"/>
    </w:p>
    <w:p w:rsidR="00C00E45" w:rsidRPr="00C00E45" w:rsidRDefault="00C00E45" w:rsidP="00C00E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C00E45">
        <w:rPr>
          <w:sz w:val="28"/>
          <w:szCs w:val="20"/>
        </w:rPr>
        <w:t xml:space="preserve">1. </w:t>
      </w:r>
      <w:proofErr w:type="gramStart"/>
      <w:r w:rsidRPr="00C00E45">
        <w:rPr>
          <w:sz w:val="28"/>
          <w:szCs w:val="20"/>
        </w:rPr>
        <w:t xml:space="preserve">Внести в Правила землепользования и застройки муниципального образования «Зеленогорское сельское поселение» Республики Марий Эл, утвержденные решением Собрания депутатов муниципального образования «Зеленогорское сельское поселение» Республики Марий Эл от «21» февраля 2013 года № 120  (в ред. решений от 29 апреля 2014 год № 157, от 10 апреля 2015 года № 32,  от 30 июня 2017 года, от 05 июня </w:t>
      </w:r>
      <w:smartTag w:uri="urn:schemas-microsoft-com:office:smarttags" w:element="metricconverter">
        <w:smartTagPr>
          <w:attr w:name="ProductID" w:val="2018 г"/>
          <w:attr w:name="tabIndex" w:val="0"/>
          <w:attr w:name="style" w:val="BACKGROUND-POSITION: left bottom; BACKGROUND-IMAGE: url(res://ietag.dll/#34/#1001); BACKGROUND-REPEAT: repeat-x"/>
        </w:smartTagPr>
        <w:r w:rsidRPr="00C00E45">
          <w:rPr>
            <w:sz w:val="28"/>
            <w:szCs w:val="20"/>
          </w:rPr>
          <w:t>2018 года</w:t>
        </w:r>
      </w:smartTag>
      <w:r w:rsidRPr="00C00E45">
        <w:rPr>
          <w:sz w:val="28"/>
          <w:szCs w:val="20"/>
        </w:rPr>
        <w:t xml:space="preserve"> № 149, от 15</w:t>
      </w:r>
      <w:proofErr w:type="gramEnd"/>
      <w:r w:rsidRPr="00C00E45">
        <w:rPr>
          <w:sz w:val="28"/>
          <w:szCs w:val="20"/>
        </w:rPr>
        <w:t xml:space="preserve"> августа 2019 года № 189, от 17 марта 2020 года № 34, от 28 декабря 2020 года № 73, от 16 февраля 2021 года № 94, от 27 сентября 2021 года № 108), следующие изменения:</w:t>
      </w: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C00E45">
        <w:rPr>
          <w:sz w:val="28"/>
          <w:szCs w:val="20"/>
        </w:rPr>
        <w:t>1.1. в абзаце девятом преамбулы слова «Положением о публичных слушаниях в муниципальном образовании «Зеленогорское сельское поселение» заменить словами 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«Зеленогорское сельское поселение»;</w:t>
      </w: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  <w:highlight w:val="yellow"/>
        </w:rPr>
      </w:pPr>
    </w:p>
    <w:p w:rsidR="00C00E45" w:rsidRPr="00C00E45" w:rsidRDefault="00C00E45" w:rsidP="00C00E45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0E45">
        <w:rPr>
          <w:sz w:val="28"/>
          <w:szCs w:val="28"/>
        </w:rPr>
        <w:t xml:space="preserve">в статье 1: </w:t>
      </w:r>
    </w:p>
    <w:p w:rsidR="00C00E45" w:rsidRPr="00C00E45" w:rsidRDefault="00C00E45" w:rsidP="00C00E45">
      <w:pPr>
        <w:autoSpaceDE w:val="0"/>
        <w:autoSpaceDN w:val="0"/>
        <w:adjustRightInd w:val="0"/>
        <w:ind w:left="708"/>
        <w:jc w:val="both"/>
        <w:rPr>
          <w:sz w:val="28"/>
          <w:szCs w:val="28"/>
          <w:highlight w:val="yellow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а) абзац пятый после слов «, реконструкции объектов капитального строительства» дополнить словами «, эксплуатации зданий, сооружений, комплексного развития территорий и их благоустройства</w:t>
      </w:r>
      <w:proofErr w:type="gramStart"/>
      <w:r w:rsidRPr="00C00E45">
        <w:rPr>
          <w:sz w:val="28"/>
          <w:szCs w:val="20"/>
        </w:rPr>
        <w:t>;»</w:t>
      </w:r>
      <w:proofErr w:type="gramEnd"/>
      <w:r w:rsidRPr="00C00E45">
        <w:rPr>
          <w:sz w:val="28"/>
          <w:szCs w:val="20"/>
        </w:rPr>
        <w:t>;</w:t>
      </w:r>
    </w:p>
    <w:p w:rsidR="00C00E45" w:rsidRPr="00C00E45" w:rsidRDefault="00C00E45" w:rsidP="00C00E45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lastRenderedPageBreak/>
        <w:t xml:space="preserve">б) в абзаце седьмом слова «и </w:t>
      </w:r>
      <w:proofErr w:type="gramStart"/>
      <w:r w:rsidRPr="00C00E45">
        <w:rPr>
          <w:sz w:val="28"/>
          <w:szCs w:val="20"/>
        </w:rPr>
        <w:t>устойчивому</w:t>
      </w:r>
      <w:proofErr w:type="gramEnd"/>
      <w:r w:rsidRPr="00C00E45">
        <w:rPr>
          <w:sz w:val="28"/>
          <w:szCs w:val="20"/>
        </w:rPr>
        <w:t>» исключить;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E45">
        <w:rPr>
          <w:sz w:val="28"/>
          <w:szCs w:val="28"/>
        </w:rPr>
        <w:t xml:space="preserve">в) абзацы девятый - десятый изложить в следующей редакции: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E45">
        <w:rPr>
          <w:sz w:val="28"/>
          <w:szCs w:val="28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00E45">
        <w:rPr>
          <w:sz w:val="28"/>
          <w:szCs w:val="28"/>
        </w:rPr>
        <w:t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недвижимости;»;</w:t>
      </w:r>
      <w:proofErr w:type="gramEnd"/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  <w:highlight w:val="yellow"/>
        </w:rPr>
      </w:pP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C00E45">
        <w:rPr>
          <w:sz w:val="28"/>
          <w:szCs w:val="20"/>
        </w:rPr>
        <w:t xml:space="preserve">г) абзац двенадцатый изложить в следующей редакции: </w:t>
      </w: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  <w:proofErr w:type="gramStart"/>
      <w:r w:rsidRPr="00C00E45">
        <w:rPr>
          <w:sz w:val="28"/>
          <w:szCs w:val="20"/>
        </w:rP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00E45">
        <w:rPr>
          <w:sz w:val="28"/>
          <w:szCs w:val="20"/>
        </w:rPr>
        <w:t>Росатом</w:t>
      </w:r>
      <w:proofErr w:type="spellEnd"/>
      <w:r w:rsidRPr="00C00E45">
        <w:rPr>
          <w:sz w:val="28"/>
          <w:szCs w:val="20"/>
        </w:rPr>
        <w:t>», Государственная корпорация по космической деятельности «</w:t>
      </w:r>
      <w:proofErr w:type="spellStart"/>
      <w:r w:rsidRPr="00C00E45">
        <w:rPr>
          <w:sz w:val="28"/>
          <w:szCs w:val="20"/>
        </w:rPr>
        <w:t>Роскосмос</w:t>
      </w:r>
      <w:proofErr w:type="spellEnd"/>
      <w:r w:rsidRPr="00C00E45">
        <w:rPr>
          <w:sz w:val="28"/>
          <w:szCs w:val="20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C00E45">
        <w:rPr>
          <w:sz w:val="28"/>
          <w:szCs w:val="20"/>
        </w:rPr>
        <w:t xml:space="preserve"> </w:t>
      </w:r>
      <w:proofErr w:type="gramStart"/>
      <w:r w:rsidRPr="00C00E45">
        <w:rPr>
          <w:sz w:val="28"/>
          <w:szCs w:val="20"/>
        </w:rPr>
        <w:t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</w:t>
      </w:r>
      <w:proofErr w:type="gramEnd"/>
      <w:r w:rsidRPr="00C00E45">
        <w:rPr>
          <w:sz w:val="28"/>
          <w:szCs w:val="20"/>
        </w:rPr>
        <w:t xml:space="preserve">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C00E45">
        <w:rPr>
          <w:sz w:val="28"/>
          <w:szCs w:val="20"/>
        </w:rPr>
        <w:t>;»</w:t>
      </w:r>
      <w:proofErr w:type="gramEnd"/>
      <w:r w:rsidRPr="00C00E45">
        <w:rPr>
          <w:sz w:val="28"/>
          <w:szCs w:val="20"/>
        </w:rPr>
        <w:t>;</w:t>
      </w:r>
    </w:p>
    <w:p w:rsidR="00C00E45" w:rsidRPr="00C00E45" w:rsidRDefault="00C00E45" w:rsidP="00C00E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E45">
        <w:rPr>
          <w:sz w:val="28"/>
          <w:szCs w:val="28"/>
        </w:rPr>
        <w:t xml:space="preserve">д) абзац семнадцатый изложить в следующей редакции: </w:t>
      </w:r>
    </w:p>
    <w:p w:rsidR="00C00E45" w:rsidRPr="00C00E45" w:rsidRDefault="00C00E45" w:rsidP="00C00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E45">
        <w:rPr>
          <w:sz w:val="28"/>
          <w:szCs w:val="28"/>
        </w:rPr>
        <w:tab/>
      </w:r>
      <w:proofErr w:type="gramStart"/>
      <w:r w:rsidRPr="00C00E45"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другие);»;</w:t>
      </w:r>
      <w:proofErr w:type="gramEnd"/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C00E45">
        <w:rPr>
          <w:sz w:val="28"/>
          <w:szCs w:val="20"/>
        </w:rPr>
        <w:t>1.3. части 4 статье 3 изложить в следующей редакции:</w:t>
      </w:r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C00E45">
        <w:rPr>
          <w:sz w:val="28"/>
          <w:szCs w:val="20"/>
        </w:rPr>
        <w:lastRenderedPageBreak/>
        <w:t>«4.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 w:rsidRPr="00C00E45">
        <w:rPr>
          <w:sz w:val="28"/>
          <w:szCs w:val="20"/>
        </w:rPr>
        <w:t>.»;</w:t>
      </w:r>
      <w:proofErr w:type="gramEnd"/>
    </w:p>
    <w:p w:rsidR="00C00E45" w:rsidRPr="00C00E45" w:rsidRDefault="00C00E45" w:rsidP="00C00E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0"/>
          <w:highlight w:val="yellow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1.4. статью 9 дополнить частью 2.1 следующего содержания: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«2.1.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C00E45">
        <w:rPr>
          <w:sz w:val="28"/>
          <w:szCs w:val="20"/>
        </w:rPr>
        <w:t>.»;</w:t>
      </w:r>
      <w:proofErr w:type="gramEnd"/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1.5. в статье 12: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а) в абзаце девятом цифру «6)» исключить;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б)  дополнить абзацами десятым и одиннадцатым следующего содержания: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«планируется осуществление комплексного развития территории;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 w:rsidRPr="00C00E45">
          <w:rPr>
            <w:sz w:val="28"/>
            <w:szCs w:val="20"/>
          </w:rPr>
          <w:t>законом</w:t>
        </w:r>
      </w:hyperlink>
      <w:r w:rsidRPr="00C00E45">
        <w:rPr>
          <w:sz w:val="28"/>
          <w:szCs w:val="20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 w:rsidRPr="00C00E45">
        <w:rPr>
          <w:sz w:val="28"/>
          <w:szCs w:val="20"/>
        </w:rPr>
        <w:t>.»</w:t>
      </w:r>
      <w:proofErr w:type="gramEnd"/>
      <w:r w:rsidRPr="00C00E45">
        <w:rPr>
          <w:sz w:val="28"/>
          <w:szCs w:val="20"/>
        </w:rPr>
        <w:t>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1.6. в статье 13: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а) часть 3 дополнить словами «, если иное не предусмотрено </w:t>
      </w:r>
      <w:hyperlink r:id="rId10" w:history="1">
        <w:r w:rsidRPr="00C00E45">
          <w:rPr>
            <w:sz w:val="28"/>
            <w:szCs w:val="20"/>
          </w:rPr>
          <w:t>частью 10.2</w:t>
        </w:r>
      </w:hyperlink>
      <w:r w:rsidRPr="00C00E45">
        <w:rPr>
          <w:sz w:val="28"/>
          <w:szCs w:val="20"/>
        </w:rPr>
        <w:t xml:space="preserve"> статьи 45 Градостроительного кодекса Российской Федерации</w:t>
      </w:r>
      <w:proofErr w:type="gramStart"/>
      <w:r w:rsidRPr="00C00E45">
        <w:rPr>
          <w:sz w:val="28"/>
          <w:szCs w:val="20"/>
        </w:rPr>
        <w:t>.»;</w:t>
      </w:r>
      <w:proofErr w:type="gramEnd"/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б)  пункт 1 части 8 признать утратившим силу;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1.7. пункт 3 части 10 статьи 14 осле слов «в письменной форме» дополнить словами «или в форме электронного документа».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1.8. статье 16: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а) в части 1: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- дополнить пунктом 1.1. следующего содержания: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«1.1)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</w:t>
      </w:r>
      <w:r w:rsidRPr="00C00E45">
        <w:rPr>
          <w:sz w:val="28"/>
          <w:szCs w:val="20"/>
        </w:rPr>
        <w:lastRenderedPageBreak/>
        <w:t xml:space="preserve">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C00E45">
        <w:rPr>
          <w:sz w:val="28"/>
          <w:szCs w:val="20"/>
        </w:rPr>
        <w:t>приаэродромной</w:t>
      </w:r>
      <w:proofErr w:type="spellEnd"/>
      <w:r w:rsidRPr="00C00E45">
        <w:rPr>
          <w:sz w:val="28"/>
          <w:szCs w:val="20"/>
        </w:rPr>
        <w:t xml:space="preserve"> территории, которые допущены в правилах землепользования и застройки поселения</w:t>
      </w:r>
      <w:proofErr w:type="gramStart"/>
      <w:r w:rsidRPr="00C00E45">
        <w:rPr>
          <w:sz w:val="28"/>
          <w:szCs w:val="20"/>
        </w:rPr>
        <w:t>;»</w:t>
      </w:r>
      <w:proofErr w:type="gramEnd"/>
      <w:r w:rsidRPr="00C00E45">
        <w:rPr>
          <w:sz w:val="28"/>
          <w:szCs w:val="20"/>
        </w:rPr>
        <w:t xml:space="preserve">;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-  пункт 3 изложить в следующей редакции: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«3)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</w:t>
      </w:r>
      <w:proofErr w:type="gramStart"/>
      <w:r w:rsidRPr="00C00E45">
        <w:rPr>
          <w:sz w:val="28"/>
          <w:szCs w:val="20"/>
        </w:rPr>
        <w:t>;»</w:t>
      </w:r>
      <w:proofErr w:type="gramEnd"/>
      <w:r w:rsidRPr="00C00E45">
        <w:rPr>
          <w:sz w:val="28"/>
          <w:szCs w:val="20"/>
        </w:rPr>
        <w:t>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-  дополнить пунктами 4-7 следующего содержания: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«4)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6) принятие решения о комплексном развитии территории;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7) обнаружение мест захоронений погибших при защите Отечества, расположенных в границах Зеленогорского сельского поселения</w:t>
      </w:r>
      <w:proofErr w:type="gramStart"/>
      <w:r w:rsidRPr="00C00E45">
        <w:rPr>
          <w:sz w:val="28"/>
          <w:szCs w:val="20"/>
        </w:rPr>
        <w:t>.»;</w:t>
      </w:r>
      <w:proofErr w:type="gramEnd"/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б) в части 2: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- дополнить пунктом 4 следующего содержания: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Pr="00C00E45">
        <w:rPr>
          <w:sz w:val="28"/>
          <w:szCs w:val="20"/>
        </w:rPr>
        <w:t>;»</w:t>
      </w:r>
      <w:proofErr w:type="gramEnd"/>
      <w:r w:rsidRPr="00C00E45">
        <w:rPr>
          <w:sz w:val="28"/>
          <w:szCs w:val="20"/>
        </w:rPr>
        <w:t>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 - пункт 8 изложить в следующей редакции: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 w:rsidRPr="00C00E45">
        <w:rPr>
          <w:sz w:val="28"/>
          <w:szCs w:val="20"/>
        </w:rPr>
        <w:t>«8) Правительством Республики Марий Эл, органом местного самоуправления, принявшими решение о комплексном развитии территории, юридическим лицом, созданным Республикой Марий Эл и обеспечивающим реализацию принятого Республикой Марий Эл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территории.»;</w:t>
      </w:r>
      <w:proofErr w:type="gramEnd"/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  <w:highlight w:val="yellow"/>
        </w:rPr>
      </w:pPr>
      <w:r w:rsidRPr="00C00E45">
        <w:rPr>
          <w:sz w:val="28"/>
          <w:szCs w:val="20"/>
          <w:highlight w:val="yellow"/>
        </w:rPr>
        <w:lastRenderedPageBreak/>
        <w:t xml:space="preserve"> </w:t>
      </w:r>
    </w:p>
    <w:p w:rsid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1.9. в абзаце шестом статьи 17 слова «Приказу Минэкономразвития России от 01.09.2014 № 540 «Об утверждении классификатора видов разрешенного использования земельных участков» (с изменениями от 30.09.2015 г. №709)» заменить словами «Приказу </w:t>
      </w:r>
      <w:proofErr w:type="spellStart"/>
      <w:r w:rsidRPr="00C00E45">
        <w:rPr>
          <w:sz w:val="28"/>
          <w:szCs w:val="20"/>
        </w:rPr>
        <w:t>Росреестра</w:t>
      </w:r>
      <w:proofErr w:type="spellEnd"/>
      <w:r w:rsidRPr="00C00E45">
        <w:rPr>
          <w:sz w:val="28"/>
          <w:szCs w:val="20"/>
        </w:rPr>
        <w:t xml:space="preserve"> от 10.11.2020 № </w:t>
      </w:r>
      <w:proofErr w:type="gramStart"/>
      <w:r w:rsidRPr="00C00E45">
        <w:rPr>
          <w:sz w:val="28"/>
          <w:szCs w:val="20"/>
        </w:rPr>
        <w:t>П</w:t>
      </w:r>
      <w:proofErr w:type="gramEnd"/>
      <w:r w:rsidRPr="00C00E45">
        <w:rPr>
          <w:sz w:val="28"/>
          <w:szCs w:val="20"/>
        </w:rPr>
        <w:t>/0412 «Об утверждении классификатора видов разрешенного использования земельных участков».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1.10. по тексту: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а) слова «общественных обсуждений или» и слова «или общественных обсуждений» исключить; 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б) слова «Блокированные жилые дома» заменить словами «Дома блокированной застройки»;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в) слова «администрация муниципального образования «Зеленогорское сельское поселение» в соответствующем падеже заменить словами «Зеленогорская сельская администрация» в соответствующем падеже;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>г) слова «муниципальное образование «Зеленогорское сельское поселение» в соответствующем падеже заменить словами «Зеленогорское сельское поселение» в соответствующем падеже;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 2. Настоящее решение вступает в силу после его официального опубликования (обнародования).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C00E45">
        <w:rPr>
          <w:sz w:val="28"/>
          <w:szCs w:val="20"/>
        </w:rPr>
        <w:t xml:space="preserve">3. </w:t>
      </w:r>
      <w:proofErr w:type="gramStart"/>
      <w:r w:rsidRPr="00C00E45">
        <w:rPr>
          <w:sz w:val="28"/>
          <w:szCs w:val="20"/>
        </w:rPr>
        <w:t>Контроль за</w:t>
      </w:r>
      <w:proofErr w:type="gramEnd"/>
      <w:r w:rsidRPr="00C00E45">
        <w:rPr>
          <w:sz w:val="28"/>
          <w:szCs w:val="20"/>
        </w:rPr>
        <w:t xml:space="preserve"> исполнением настоящего решения оставляю </w:t>
      </w:r>
      <w:r w:rsidRPr="00C00E45">
        <w:rPr>
          <w:sz w:val="28"/>
          <w:szCs w:val="20"/>
        </w:rPr>
        <w:br/>
        <w:t>за собой.</w:t>
      </w:r>
    </w:p>
    <w:p w:rsidR="00C00E45" w:rsidRPr="00C00E45" w:rsidRDefault="00C00E45" w:rsidP="00C00E4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260026" w:rsidRPr="00F514A1" w:rsidRDefault="00260026" w:rsidP="00260026">
      <w:pPr>
        <w:jc w:val="both"/>
        <w:rPr>
          <w:color w:val="FF0000"/>
          <w:spacing w:val="-4"/>
          <w:sz w:val="28"/>
          <w:szCs w:val="28"/>
        </w:rPr>
      </w:pPr>
    </w:p>
    <w:p w:rsidR="00F514A1" w:rsidRDefault="00F514A1" w:rsidP="00F514A1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F514A1" w:rsidRPr="00F514A1" w:rsidRDefault="00F514A1" w:rsidP="00F514A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14A1">
        <w:rPr>
          <w:sz w:val="28"/>
          <w:szCs w:val="20"/>
        </w:rPr>
        <w:t xml:space="preserve">Глава </w:t>
      </w:r>
      <w:r w:rsidRPr="00F514A1">
        <w:rPr>
          <w:sz w:val="28"/>
          <w:szCs w:val="28"/>
        </w:rPr>
        <w:t xml:space="preserve">Зеленогорского </w:t>
      </w:r>
    </w:p>
    <w:p w:rsidR="00F514A1" w:rsidRPr="00F514A1" w:rsidRDefault="00F514A1" w:rsidP="00F514A1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514A1">
        <w:rPr>
          <w:sz w:val="28"/>
          <w:szCs w:val="28"/>
        </w:rPr>
        <w:t>сельского поселения</w:t>
      </w:r>
      <w:r w:rsidRPr="00F514A1">
        <w:rPr>
          <w:sz w:val="28"/>
          <w:szCs w:val="28"/>
        </w:rPr>
        <w:tab/>
      </w:r>
      <w:r w:rsidRPr="00F514A1">
        <w:rPr>
          <w:sz w:val="28"/>
          <w:szCs w:val="28"/>
        </w:rPr>
        <w:tab/>
      </w:r>
      <w:r w:rsidRPr="00F514A1">
        <w:rPr>
          <w:sz w:val="28"/>
          <w:szCs w:val="28"/>
        </w:rPr>
        <w:tab/>
      </w:r>
      <w:r w:rsidRPr="00F514A1">
        <w:rPr>
          <w:sz w:val="28"/>
          <w:szCs w:val="28"/>
        </w:rPr>
        <w:tab/>
      </w:r>
      <w:r w:rsidRPr="00F514A1">
        <w:rPr>
          <w:sz w:val="28"/>
          <w:szCs w:val="28"/>
        </w:rPr>
        <w:tab/>
      </w:r>
      <w:r w:rsidRPr="00F514A1">
        <w:rPr>
          <w:sz w:val="28"/>
          <w:szCs w:val="28"/>
        </w:rPr>
        <w:tab/>
      </w:r>
      <w:r w:rsidRPr="00F514A1">
        <w:rPr>
          <w:sz w:val="28"/>
          <w:szCs w:val="28"/>
        </w:rPr>
        <w:tab/>
      </w:r>
      <w:proofErr w:type="spellStart"/>
      <w:r w:rsidRPr="00F514A1">
        <w:rPr>
          <w:sz w:val="28"/>
          <w:szCs w:val="28"/>
        </w:rPr>
        <w:t>Н.В.Гранатова</w:t>
      </w:r>
      <w:proofErr w:type="spellEnd"/>
    </w:p>
    <w:p w:rsidR="00260026" w:rsidRPr="00891CF3" w:rsidRDefault="00260026" w:rsidP="00260026">
      <w:pPr>
        <w:jc w:val="both"/>
        <w:rPr>
          <w:sz w:val="28"/>
          <w:szCs w:val="28"/>
        </w:rPr>
      </w:pPr>
    </w:p>
    <w:p w:rsidR="0026796A" w:rsidRDefault="0026796A"/>
    <w:sectPr w:rsidR="0026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068"/>
    <w:multiLevelType w:val="multilevel"/>
    <w:tmpl w:val="A3AC752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53"/>
    <w:rsid w:val="00102C41"/>
    <w:rsid w:val="00260026"/>
    <w:rsid w:val="0026796A"/>
    <w:rsid w:val="00303A53"/>
    <w:rsid w:val="004B5031"/>
    <w:rsid w:val="005F411C"/>
    <w:rsid w:val="00614046"/>
    <w:rsid w:val="00737F08"/>
    <w:rsid w:val="00C00E45"/>
    <w:rsid w:val="00F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0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0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/content/act/9cf2f1c3-393d-4051-a52d-9923b0e51c0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B3AC420F8902B0D6A6369291E7448AFA445BA6F911E74971F94253557A288F8118D59C88C625FB7D61B157C672B480D08CA0B4873AA1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0995E1CDF8216C2335CA433D5E3E4C42688D33855F6F4462CA6856EB5AE71C9D7A2C85D5BF19A1415170A26u8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2022-05-11T08:19:00Z</cp:lastPrinted>
  <dcterms:created xsi:type="dcterms:W3CDTF">2022-03-22T08:42:00Z</dcterms:created>
  <dcterms:modified xsi:type="dcterms:W3CDTF">2022-05-17T06:06:00Z</dcterms:modified>
</cp:coreProperties>
</file>