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A" w:rsidRDefault="00DD30FA">
      <w:pPr>
        <w:pStyle w:val="ConsPlusTitle"/>
        <w:ind w:firstLine="540"/>
        <w:jc w:val="both"/>
        <w:outlineLvl w:val="0"/>
      </w:pPr>
      <w:r>
        <w:t>Глава 5. Управление рисками причинения вреда (ущерба) охраняемым законом ценностям при осуществлении государственного контроля (надзора), муниципального контроля</w:t>
      </w:r>
    </w:p>
    <w:p w:rsidR="00DD30FA" w:rsidRDefault="00DD30FA">
      <w:pPr>
        <w:pStyle w:val="ConsPlusNormal"/>
        <w:jc w:val="both"/>
      </w:pPr>
    </w:p>
    <w:p w:rsidR="00DD30FA" w:rsidRDefault="00DD30FA">
      <w:pPr>
        <w:pStyle w:val="ConsPlusTitle"/>
        <w:ind w:firstLine="540"/>
        <w:jc w:val="both"/>
        <w:outlineLvl w:val="1"/>
      </w:pPr>
      <w:r>
        <w:t>Статья 22. Основы системы оценки и управления рисками причинения вреда (ущерба) охраняемым законом ценностям</w:t>
      </w:r>
    </w:p>
    <w:p w:rsidR="00DD30FA" w:rsidRDefault="00DD30FA">
      <w:pPr>
        <w:pStyle w:val="ConsPlusNormal"/>
        <w:jc w:val="both"/>
      </w:pPr>
    </w:p>
    <w:p w:rsidR="00DD30FA" w:rsidRDefault="00DD30FA">
      <w:pPr>
        <w:pStyle w:val="ConsPlusNormal"/>
        <w:ind w:firstLine="540"/>
        <w:jc w:val="both"/>
      </w:pPr>
      <w:r>
        <w:t>1. Государственный контроль (надзор), муниципальный контроль осуществляются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2. Под риском причинения вреда (ущерба) в целях настоящего Федерального закона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3. Под оценкой риска причинения вреда (ущерба) в целях настоящего Федерального закона понимается деятельность контрольного (надзорного) органа по определению вероятности возникновения риска и масштаба вреда (ущерба) для охраняемых законом ценностей.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4. Под управлением риском причинения вреда (ущерба) в целях настоящего Федерального закона понимается осуществление на основе оценки рисков причинения вреда (ущерба) профилактических мероприятий и контрольных (надзорных) мероприятий в целях обеспечения допустимого уровня риска причинения вреда (ущерба) в соответствующей сфере деятельности. Допустимый уровень риска причинения вреда (ущерба) в рамках вида государственного контроля (надзора) должен закрепляться в ключевых показателях вида контроля.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5. Контрольным (надзорным)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 xml:space="preserve">6. Исключен. -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 xml:space="preserve">7. Положением о виде муниципального контроля может быть установлено, что система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учетом особенностей, установленных </w:t>
      </w:r>
      <w:hyperlink r:id="rId6">
        <w:r>
          <w:rPr>
            <w:color w:val="0000FF"/>
          </w:rPr>
          <w:t>статьями 61</w:t>
        </w:r>
      </w:hyperlink>
      <w:r>
        <w:t xml:space="preserve"> и </w:t>
      </w:r>
      <w:hyperlink r:id="rId7">
        <w:r>
          <w:rPr>
            <w:color w:val="0000FF"/>
          </w:rPr>
          <w:t>66</w:t>
        </w:r>
      </w:hyperlink>
      <w:r>
        <w:t xml:space="preserve"> настоящего Федерального закона.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8.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(надзорных) мероприятий, а также дополнительные формы независимой оценки соблюдения обязательных требований. В этом случае плановые контрольные (надзорные) мероприятия проводятся с учетом особенностей, установленных федеральным законом о виде контроля.</w:t>
      </w:r>
    </w:p>
    <w:p w:rsidR="00DD30FA" w:rsidRDefault="00DD30FA">
      <w:pPr>
        <w:pStyle w:val="ConsPlusNormal"/>
        <w:jc w:val="both"/>
      </w:pPr>
    </w:p>
    <w:p w:rsidR="00DD30FA" w:rsidRDefault="00DD30FA">
      <w:pPr>
        <w:pStyle w:val="ConsPlusTitle"/>
        <w:ind w:firstLine="540"/>
        <w:jc w:val="both"/>
        <w:outlineLvl w:val="1"/>
      </w:pPr>
      <w:r>
        <w:t>Статья 23. Категории риска причинения вреда (ущерба) и индикаторы риска нарушения обязательных требований</w:t>
      </w:r>
    </w:p>
    <w:p w:rsidR="00DD30FA" w:rsidRDefault="00DD30FA">
      <w:pPr>
        <w:pStyle w:val="ConsPlusNormal"/>
        <w:jc w:val="both"/>
      </w:pPr>
    </w:p>
    <w:p w:rsidR="00DD30FA" w:rsidRDefault="00DD30FA">
      <w:pPr>
        <w:pStyle w:val="ConsPlusNormal"/>
        <w:ind w:firstLine="540"/>
        <w:jc w:val="both"/>
      </w:pPr>
      <w:r>
        <w:t>1. 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1) чрезвычайно высокий риск;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2) высокий риск;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3) значительный риск;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4) средний риск;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5) умеренный риск;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lastRenderedPageBreak/>
        <w:t>6) низкий риск.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2. Положением о виде контроля должно быть предусмотрено не менее трех категорий риска, в том числе в обязательном порядке категория низкого риска.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Количество категорий риска и критерии отнесения объектов контроля к категориям риска (далее -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(надзорного) органа таким образом, чтобы общее количество профилактических мероприятий и контрольных (надзорных) мероприятий по отношению к</w:t>
      </w:r>
      <w:proofErr w:type="gramEnd"/>
      <w:r>
        <w:t xml:space="preserve"> объектам контроля всех категорий риска причинения вреда (ущерба) соответствовало имеющимся ресурсам контрольного (надзорного) органа.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4. Критерии риска должны учитывать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учитывать добросовестность контролируемых лиц.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5. При определении критериев риска оценка тяжести причинения вреда (ущерба) охраняемым законом ценностям проводится на основе сведений о степени тяжести фактического причинения вреда (ущерба) в подобных случаях, потенциальном масштабе распространения вероятных негативных последствий, влекущих причинение вреда (ущерба), с учетом сложности преодоления таких последствий.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При определении критериев риска оценка вероятности наступления негативных событий, которые могут повлечь причинение вреда (ущерба) охраняемым законом ценностям, проводится с учетом предшествующих данных о фактическом причинении вреда (ущерба) вследствие наступления событий, вызванных определенными источниками и причинами риска причинения вреда (ущерба), по различным видам объектов контроля с выделением видов объектов контроля, характеризующихся схожей или различной частотой случаев фактического причинения вреда (ущерба</w:t>
      </w:r>
      <w:proofErr w:type="gramEnd"/>
      <w:r>
        <w:t>).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7. 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1)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2) наличие внедренных сертифицированных систем внутреннего контроля в соответствующей сфере деятельности;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3) предоставление контролируемым лицом доступа контрольному (надзорному) органу к своим информационным ресурсам;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4) независимая оценка соблюдения обязательных требований;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6) 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8. Критерии риска должны основываться на достоверных сведениях, характеризующих уровень риска причинения вреда (ущерба) в соответствующей сфере, а также практику соблюдения обязательных требований в рамках вида контроля,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 xml:space="preserve">9.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</w:t>
      </w:r>
      <w:r>
        <w:lastRenderedPageBreak/>
        <w:t>орган 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 xml:space="preserve">10. </w:t>
      </w:r>
      <w:hyperlink r:id="rId8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по видам контроля утверждается:</w:t>
      </w:r>
    </w:p>
    <w:p w:rsidR="00DD30FA" w:rsidRDefault="00DD30FA">
      <w:pPr>
        <w:pStyle w:val="ConsPlusNormal"/>
        <w:jc w:val="both"/>
      </w:pPr>
      <w:r>
        <w:t xml:space="preserve">(в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D30FA" w:rsidRDefault="00DD30FA">
      <w:pPr>
        <w:pStyle w:val="ConsPlusNormal"/>
        <w:spacing w:before="200"/>
        <w:ind w:firstLine="540"/>
        <w:jc w:val="both"/>
      </w:pPr>
      <w:proofErr w:type="gramStart"/>
      <w:r>
        <w:t>1) для вида федерального контроля - федеральным органом исполнительной власти, государственными корпорациями, осуществляющими функции по нормативно-правовому регулированию в установленной сфере деятельности,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контроля;</w:t>
      </w:r>
      <w:proofErr w:type="gramEnd"/>
    </w:p>
    <w:p w:rsidR="00DD30FA" w:rsidRDefault="00DD30FA">
      <w:pPr>
        <w:pStyle w:val="ConsPlusNormal"/>
        <w:spacing w:before="200"/>
        <w:ind w:firstLine="540"/>
        <w:jc w:val="both"/>
      </w:pPr>
      <w:r>
        <w:t>2) для вида регионального контроля - высшим исполнительным органом государственной власти субъекта Российской Федерации;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3) для вида муниципального контроля - представительным органом муниципального образования.</w:t>
      </w:r>
    </w:p>
    <w:p w:rsidR="00DD30FA" w:rsidRDefault="00DD30FA">
      <w:pPr>
        <w:pStyle w:val="ConsPlusNormal"/>
        <w:jc w:val="both"/>
      </w:pPr>
    </w:p>
    <w:p w:rsidR="00DD30FA" w:rsidRDefault="00DD30FA">
      <w:pPr>
        <w:pStyle w:val="ConsPlusTitle"/>
        <w:ind w:firstLine="540"/>
        <w:jc w:val="both"/>
        <w:outlineLvl w:val="1"/>
      </w:pPr>
      <w:r>
        <w:t>Статья 24. Порядок отнесения объектов государственного контроля (надзора), муниципального контроля к категориям риска и выявления индикаторов риска нарушения обязательных требований</w:t>
      </w:r>
    </w:p>
    <w:p w:rsidR="00DD30FA" w:rsidRDefault="00DD30FA">
      <w:pPr>
        <w:pStyle w:val="ConsPlusNormal"/>
        <w:jc w:val="both"/>
      </w:pPr>
    </w:p>
    <w:p w:rsidR="00DD30FA" w:rsidRDefault="00DD30FA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</w:t>
      </w:r>
      <w:proofErr w:type="gramEnd"/>
      <w:r>
        <w:t xml:space="preserve"> </w:t>
      </w:r>
      <w:proofErr w:type="gramStart"/>
      <w:r>
        <w:t>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</w:t>
      </w:r>
      <w:proofErr w:type="gramEnd"/>
      <w:r>
        <w:t xml:space="preserve"> информационных </w:t>
      </w:r>
      <w:proofErr w:type="gramStart"/>
      <w:r>
        <w:t>ресурсах</w:t>
      </w:r>
      <w:proofErr w:type="gramEnd"/>
      <w:r>
        <w:t>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3. Отнесение объекта контроля к одной из категорий риска осуществляется контрольным (надзорным) органом на основе сопоставления его характеристик с утвержденными критериями риска.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5. 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 xml:space="preserve">6. Контролируемое лицо вправе подать в контрольный (надзорный) орган заявление об </w:t>
      </w:r>
      <w:r>
        <w:lastRenderedPageBreak/>
        <w:t>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DD30FA" w:rsidRDefault="00DD30FA">
      <w:pPr>
        <w:pStyle w:val="ConsPlusNormal"/>
        <w:jc w:val="both"/>
      </w:pPr>
    </w:p>
    <w:p w:rsidR="00DD30FA" w:rsidRDefault="00DD30FA">
      <w:pPr>
        <w:pStyle w:val="ConsPlusTitle"/>
        <w:ind w:firstLine="540"/>
        <w:jc w:val="both"/>
        <w:outlineLvl w:val="1"/>
      </w:pPr>
      <w:r>
        <w:t>Статья 25. Учет рисков причинения вреда (ущерба) охраняемым законом ценностям при проведении контрольных (надзорных) мероприятий</w:t>
      </w:r>
    </w:p>
    <w:p w:rsidR="00DD30FA" w:rsidRDefault="00DD30FA">
      <w:pPr>
        <w:pStyle w:val="ConsPlusNormal"/>
        <w:jc w:val="both"/>
      </w:pPr>
    </w:p>
    <w:p w:rsidR="00DD30FA" w:rsidRDefault="00DD30FA">
      <w:pPr>
        <w:pStyle w:val="ConsPlusNormal"/>
        <w:ind w:firstLine="540"/>
        <w:jc w:val="both"/>
      </w:pPr>
      <w:r>
        <w:t xml:space="preserve">1. Виды, периодичность проведения плановых контрольных (надзорных) мероприятий в отношении объектов контроля, отнесенных к определенным категориям риска, определяются положением о виде контроля соразмерно рискам причинения вреда (ущерба). Периодичность плановых контрольных (надзорных) мероприятий определяется по каждому виду контрольных (надзорных) мероприятий для каждой категории риска с учетом положений, установленных </w:t>
      </w:r>
      <w:hyperlink w:anchor="P54">
        <w:r>
          <w:rPr>
            <w:color w:val="0000FF"/>
          </w:rPr>
          <w:t>частями 2</w:t>
        </w:r>
      </w:hyperlink>
      <w:r>
        <w:t xml:space="preserve"> - </w:t>
      </w:r>
      <w:hyperlink w:anchor="P58">
        <w:r>
          <w:rPr>
            <w:color w:val="0000FF"/>
          </w:rPr>
          <w:t>6</w:t>
        </w:r>
      </w:hyperlink>
      <w:r>
        <w:t xml:space="preserve"> настоящей статьи.</w:t>
      </w:r>
    </w:p>
    <w:p w:rsidR="00DD30FA" w:rsidRDefault="00DD30FA">
      <w:pPr>
        <w:pStyle w:val="ConsPlusNormal"/>
        <w:spacing w:before="200"/>
        <w:ind w:firstLine="540"/>
        <w:jc w:val="both"/>
      </w:pPr>
      <w:bookmarkStart w:id="0" w:name="P54"/>
      <w:bookmarkEnd w:id="0"/>
      <w:r>
        <w:t>2. Для объектов контроля, отнесенных к категории чрезвычайно высокого риска, устанавливается максимальная частота проведения плановых контрольных (надзорных) мероприятий - не менее одного, но не более двух контрольных (надзорных) мероприятий в год.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3. Для объектов контроля, отнесенных к категориям высокого или значительного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4. Для объектов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5.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DD30FA" w:rsidRDefault="00DD30FA">
      <w:pPr>
        <w:pStyle w:val="ConsPlusNormal"/>
        <w:spacing w:before="200"/>
        <w:ind w:firstLine="540"/>
        <w:jc w:val="both"/>
      </w:pPr>
      <w:bookmarkStart w:id="1" w:name="P58"/>
      <w:bookmarkEnd w:id="1"/>
      <w:r>
        <w:t>6. Положением о виде контроля может быть установлено, что частота проведения плановых контрольных (надзорных) мероприятий в отношении объектов контроля, отнесенных к определенным категориям риска, определяется в рамках иных, за исключением одного года, периодов времени либо устанавливается в связи с наступлением определенных событий.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7. Виды и содержание внеплановых контрольных (надзорных) мероприятий определяются положением о виде контроля в зависимости от основания проведения контрольного (надзорного) мероприятия.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>8. Положением о виде контроля в отношении объектов контроля, отнесенных к определенным категориям риска, могут устанавливаться сокращенные сроки проведения контрольных (надзорных) мероприятий, особенности содержания контрольных (надзорных) мероприятий, объем представляемых документов, инструментального обследования, проводимых испытаний, экспертиз и экспериментов.</w:t>
      </w:r>
    </w:p>
    <w:p w:rsidR="00DD30FA" w:rsidRDefault="00DD30FA">
      <w:pPr>
        <w:pStyle w:val="ConsPlusNormal"/>
        <w:spacing w:before="200"/>
        <w:ind w:firstLine="540"/>
        <w:jc w:val="both"/>
      </w:pPr>
      <w:r>
        <w:t xml:space="preserve">9. Федеральным законом о виде контроля может быть предусмотрено освобождение контролируемого лица от проведения плановых контрольных (надзорных) мероприятий в случае </w:t>
      </w:r>
      <w:proofErr w:type="gramStart"/>
      <w:r>
        <w:t>заключения договора страхования рисков причинения</w:t>
      </w:r>
      <w:proofErr w:type="gramEnd"/>
      <w:r>
        <w:t xml:space="preserve">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DD30FA" w:rsidRDefault="00DD30FA">
      <w:pPr>
        <w:pStyle w:val="ConsPlusNormal"/>
        <w:jc w:val="both"/>
      </w:pPr>
    </w:p>
    <w:p w:rsidR="00DD30FA" w:rsidRDefault="00DD30FA">
      <w:pPr>
        <w:pStyle w:val="ConsPlusNormal"/>
      </w:pPr>
      <w:hyperlink r:id="rId10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г</w:t>
        </w:r>
        <w:proofErr w:type="gramEnd"/>
        <w:r>
          <w:rPr>
            <w:i/>
            <w:color w:val="0000FF"/>
          </w:rPr>
          <w:t>л. 5, Федеральный закон от 31.07.2020 N 248-ФЗ (ред. от 06.12.2021) "О государственном контроле (надзоре) и муниципальном контроле в Российской Федерации" {КонсультантПлюс}</w:t>
        </w:r>
      </w:hyperlink>
      <w:r>
        <w:br/>
      </w:r>
    </w:p>
    <w:p w:rsidR="00164A51" w:rsidRDefault="00164A51">
      <w:bookmarkStart w:id="2" w:name="_GoBack"/>
      <w:bookmarkEnd w:id="2"/>
    </w:p>
    <w:sectPr w:rsidR="00164A51" w:rsidSect="00F8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FA"/>
    <w:rsid w:val="00164A51"/>
    <w:rsid w:val="00D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D30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D30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ED1A0498523F63F339F46DE7760AE8AC80BD02A7214F8B924B98C5EA8EEB2412282CA94E45D70744C9F437BE2BFF9C33360E72F3FD212KEM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1ED1A0498523F63F339F46DE7760AE8BC101D4287114F8B924B98C5EA8EEB2412282CA94E45370784C9F437BE2BFF9C33360E72F3FD212KEME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ED1A0498523F63F339F46DE7760AE8BC101D4287114F8B924B98C5EA8EEB2412282CA94E45274744C9F437BE2BFF9C33360E72F3FD212KEME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1ED1A0498523F63F339F46DE7760AE8BC10ED8287914F8B924B98C5EA8EEB2412282CA94E7527A724C9F437BE2BFF9C33360E72F3FD212KEMEO" TargetMode="External"/><Relationship Id="rId10" Type="http://schemas.openxmlformats.org/officeDocument/2006/relationships/hyperlink" Target="consultantplus://offline/ref=0F1ED1A0498523F63F339F46DE7760AE8BC101D4287114F8B924B98C5EA8EEB2412282CA94E45671784C9F437BE2BFF9C33360E72F3FD212KEM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1ED1A0498523F63F339F46DE7760AE8BC10ED8287914F8B924B98C5EA8EEB2412282CA94E7527A734C9F437BE2BFF9C33360E72F3FD212KE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2022-09-01T14:12:00Z</dcterms:created>
  <dcterms:modified xsi:type="dcterms:W3CDTF">2022-09-01T14:12:00Z</dcterms:modified>
</cp:coreProperties>
</file>