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04" w:type="dxa"/>
        <w:jc w:val="left"/>
        <w:tblInd w:w="-106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810"/>
        <w:gridCol w:w="4193"/>
      </w:tblGrid>
      <w:tr>
        <w:trPr/>
        <w:tc>
          <w:tcPr>
            <w:tcW w:w="4810" w:type="dxa"/>
            <w:tcBorders/>
          </w:tcPr>
          <w:p>
            <w:pPr>
              <w:pStyle w:val="ConsPlusTitle"/>
              <w:ind w:hanging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  <w:tc>
          <w:tcPr>
            <w:tcW w:w="4193" w:type="dxa"/>
            <w:tcBorders/>
          </w:tcPr>
          <w:p>
            <w:pPr>
              <w:pStyle w:val="ConsPlusTitle"/>
              <w:ind w:hanging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</w:r>
          </w:p>
        </w:tc>
      </w:tr>
    </w:tbl>
    <w:p>
      <w:pPr>
        <w:pStyle w:val="ConsPlusTitle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Доклад</w:t>
      </w:r>
    </w:p>
    <w:p>
      <w:pPr>
        <w:pStyle w:val="ConsPlusTitle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lef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</w:t>
        <w:br/>
        <w:t xml:space="preserve">в Комитете гражданской обороны и защиты населения </w:t>
        <w:br/>
        <w:t>Республики Марий Эл в 2022 году</w:t>
      </w:r>
    </w:p>
    <w:p>
      <w:pPr>
        <w:pStyle w:val="ListParagraph"/>
        <w:tabs>
          <w:tab w:val="clear" w:pos="708"/>
          <w:tab w:val="left" w:pos="993" w:leader="none"/>
        </w:tabs>
        <w:suppressAutoHyphens w:val="true"/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cs="Times New Roman" w:ascii="Times New Roman" w:hAnsi="Times New Roman"/>
          <w:sz w:val="16"/>
          <w:szCs w:val="16"/>
          <w:lang w:eastAsia="ar-SA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Общие положения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cs="Times New Roman" w:ascii="Times New Roman" w:hAnsi="Times New Roman"/>
          <w:sz w:val="28"/>
          <w:szCs w:val="28"/>
        </w:rPr>
        <w:t xml:space="preserve">Во исполнение Указа Президента Российской Федерации </w:t>
        <w:br/>
        <w:t xml:space="preserve">от 21 декабря 2017 г. № 618 «Об основных направлениях государственной политики по развитию конкуренции», распоряжения Правительства Российской Федерации от 16 августа 2018 г. № 1697-р, распоряжения Правительства Российской Федерации </w:t>
        <w:br/>
        <w:t>от 18 октября 2018 г. № 2258-р, приказом Комитета гражданской обороны и защиты населения Республики Марий Эл от 1 февраля 2019 г. № 10 «Об организации системы внутреннего обеспечения соответствия требованиям антимонопольного законодательства Российской Федерации в Комитете гражданской обороны и защиты населения Республики Марий Эл»,</w:t>
      </w:r>
      <w:r>
        <w:rPr>
          <w:rFonts w:cs="Times New Roman" w:ascii="Times New Roman" w:hAnsi="Times New Roman"/>
          <w:sz w:val="28"/>
          <w:szCs w:val="28"/>
          <w:lang w:eastAsia="ar-SA"/>
        </w:rPr>
        <w:t xml:space="preserve"> утверждено </w:t>
      </w:r>
      <w:r>
        <w:rPr>
          <w:rFonts w:cs="Times New Roman" w:ascii="Times New Roman" w:hAnsi="Times New Roman"/>
          <w:sz w:val="28"/>
          <w:szCs w:val="28"/>
        </w:rPr>
        <w:t xml:space="preserve">Положение об организации системы внутреннего обеспечения соответствия требованиям антимонопольного законодательства Российской Федерации в Комитете гражданской обороны и защиты населения Республики Марий Эл </w:t>
        <w:br/>
        <w:t>(далее - Положение), которое</w:t>
      </w:r>
      <w:r>
        <w:rPr>
          <w:rFonts w:cs="Times New Roman" w:ascii="Times New Roman" w:hAnsi="Times New Roman"/>
          <w:sz w:val="28"/>
          <w:szCs w:val="28"/>
          <w:lang w:eastAsia="ar-SA"/>
        </w:rPr>
        <w:t xml:space="preserve"> определяет порядок </w:t>
      </w:r>
      <w:r>
        <w:rPr>
          <w:rFonts w:cs="Times New Roman" w:ascii="Times New Roman" w:hAnsi="Times New Roman"/>
          <w:sz w:val="28"/>
          <w:szCs w:val="28"/>
        </w:rPr>
        <w:t>внутреннего обеспечения соответствия требованиям антимонопольного законодательства в Комитете гражданской обороны и защиты населения Республики Марий Эл (далее - Комитет)</w:t>
      </w:r>
      <w:r>
        <w:rPr>
          <w:rFonts w:cs="Times New Roman" w:ascii="Times New Roman" w:hAnsi="Times New Roman"/>
          <w:sz w:val="28"/>
          <w:szCs w:val="28"/>
          <w:lang w:eastAsia="ar-SA"/>
        </w:rPr>
        <w:t>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851" w:leader="none"/>
          <w:tab w:val="left" w:pos="1134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Цели антимонопольного комплаенса: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851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 обеспечение соответствия деятельности Комитета требованиям антимонопольного законодательства;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851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 профилактика нарушения требований антимонопольного законодательства в деятельности Комитета.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851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Задачи антимонопольного комплаенса: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851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 выявление рисков нарушений антимонопольного законодательства;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851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 управление рисками нарушения антимонопольного законодательства;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851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 контроль соответствия деятельности Комитета требованиям антимонопольного законодательства;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851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 оценка эффективности функционирования в Комитете антимонопольного комплаенса.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1134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Принципы антимонопольного комплаенса: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 заинтересованность руководства Комитета в эффективности функционирования антимонопольного комплаенса;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 регулярность оценки рисков нарушения антимонопольного законодательства;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в) обеспечение информационной открытости функционирования </w:t>
        <w:br/>
        <w:t>в Комитете антимонопольного комплаенса;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 непрерывность функционирования антимонопольного комплаенса в Комитете;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 совершенствование антимонопольного комплаенса.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Выявление и оценка рисков нарушения антимонопольного законодательства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выявления и оценки рисков нарушения антимонопольного законодательства Комитетом была сформирована Карта комплаенс -рисков Комитета гражданской обороны и защиты населения Республики Марий Эл на период 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-202</w:t>
      </w:r>
      <w:r>
        <w:rPr>
          <w:rFonts w:cs="Times New Roman" w:ascii="Times New Roman" w:hAnsi="Times New Roman"/>
          <w:sz w:val="28"/>
          <w:szCs w:val="28"/>
        </w:rPr>
        <w:t>4</w:t>
      </w:r>
      <w:r>
        <w:rPr>
          <w:rFonts w:cs="Times New Roman" w:ascii="Times New Roman" w:hAnsi="Times New Roman"/>
          <w:sz w:val="28"/>
          <w:szCs w:val="28"/>
        </w:rPr>
        <w:t xml:space="preserve"> годов.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 постоянной основе проводится анализ нормативных правовых актов Комитета, разрабатываемых структурными подразделениями (отделами) Комитета в части исполнения своих функций в соответствии </w:t>
        <w:br/>
        <w:t xml:space="preserve">с процедурой, установленной в Комитете, включая размещение </w:t>
        <w:br/>
        <w:t xml:space="preserve">на </w:t>
      </w:r>
      <w:r>
        <w:rPr>
          <w:rFonts w:cs="Times New Roman" w:ascii="Times New Roman" w:hAnsi="Times New Roman"/>
          <w:spacing w:val="2"/>
          <w:sz w:val="28"/>
          <w:szCs w:val="28"/>
        </w:rPr>
        <w:t xml:space="preserve">официальном сайте </w:t>
      </w:r>
      <w:r>
        <w:rPr>
          <w:rFonts w:cs="Times New Roman" w:ascii="Times New Roman" w:hAnsi="Times New Roman"/>
          <w:sz w:val="28"/>
          <w:szCs w:val="28"/>
        </w:rPr>
        <w:t xml:space="preserve">Комитета </w:t>
      </w:r>
      <w:r>
        <w:rPr>
          <w:rFonts w:cs="Times New Roman" w:ascii="Times New Roman" w:hAnsi="Times New Roman"/>
          <w:spacing w:val="2"/>
          <w:sz w:val="28"/>
          <w:szCs w:val="28"/>
        </w:rPr>
        <w:t>в информационно-телекоммуникационной сети «Интернет» проектов нормативных правовых актов (https://mari-el.gov.ru/ministries/debzn/pages/npa_proj/).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cs="Times New Roman" w:ascii="Times New Roman" w:hAnsi="Times New Roman"/>
          <w:spacing w:val="2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hanging="0"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0" w:name="bookmark5"/>
      <w:r>
        <w:rPr>
          <w:rFonts w:cs="Times New Roman" w:ascii="Times New Roman" w:hAnsi="Times New Roman"/>
          <w:b/>
          <w:bCs/>
          <w:sz w:val="28"/>
          <w:szCs w:val="28"/>
        </w:rPr>
        <w:t xml:space="preserve">Мероприятия по снижению рисков нарушения </w:t>
        <w:br/>
        <w:t>антимонопольного законодательства</w:t>
      </w:r>
      <w:bookmarkEnd w:id="0"/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2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ind w:firstLine="72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 целях снижения рисков нарушения антимонопольного законодательства был разработан План мероприятий («дорожная карта») по снижению комплаенс-рисков на 20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23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 - 202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4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годы Комитета гражданской обороны и защиты населения Республики Марий Эл.</w:t>
      </w:r>
    </w:p>
    <w:p>
      <w:pPr>
        <w:pStyle w:val="ConsPlusTitle"/>
        <w:ind w:firstLine="720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567"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Оценка эффективности функционирования </w:t>
        <w:br/>
        <w:t xml:space="preserve">в Комитете гражданской обороны и защиты населения </w:t>
        <w:br/>
        <w:t>Республики Марий Эл антимонопольного комплаенса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567"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оценки эффективности функционирования в Комитете антимонопольного комплаенса, разработаны Ключевые показатели эффективности функционирования антимонопольного комплаенса </w:t>
        <w:br/>
        <w:t>в Комитете гражданской обороны и защиты населения Республики Марий Эл.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Информация о достижении ключевых показателей эффективности функционирования антимонопольного комплаенса в Комитете гражданской обороны и защиты населения </w:t>
        <w:br/>
        <w:t>Республики Марий Эл.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pacing w:val="2"/>
          <w:sz w:val="28"/>
          <w:szCs w:val="28"/>
          <w:highlight w:val="white"/>
        </w:rPr>
      </w:pPr>
      <w:r>
        <w:rPr>
          <w:rFonts w:cs="Times New Roman" w:ascii="Times New Roman" w:hAnsi="Times New Roman"/>
          <w:spacing w:val="2"/>
          <w:sz w:val="28"/>
          <w:szCs w:val="28"/>
          <w:shd w:fill="FFFFFF" w:val="clear"/>
        </w:rPr>
        <w:t xml:space="preserve">1. Коэффициент снижения количества нарушений антимонопольного законодательства со стороны </w:t>
      </w:r>
      <w:r>
        <w:rPr>
          <w:rFonts w:cs="Times New Roman" w:ascii="Times New Roman" w:hAnsi="Times New Roman"/>
          <w:sz w:val="28"/>
          <w:szCs w:val="28"/>
        </w:rPr>
        <w:t>Комитета</w:t>
        <w:br/>
      </w:r>
      <w:r>
        <w:rPr>
          <w:rFonts w:cs="Times New Roman" w:ascii="Times New Roman" w:hAnsi="Times New Roman"/>
          <w:spacing w:val="2"/>
          <w:sz w:val="28"/>
          <w:szCs w:val="28"/>
          <w:shd w:fill="FFFFFF" w:val="clear"/>
        </w:rPr>
        <w:t>(по сравнению с 2022 годом).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cs="Times New Roman" w:ascii="Times New Roman" w:hAnsi="Times New Roman"/>
          <w:spacing w:val="2"/>
          <w:sz w:val="28"/>
          <w:szCs w:val="28"/>
          <w:shd w:fill="FFFFFF" w:val="clear"/>
        </w:rPr>
        <w:t xml:space="preserve">Данный показатель не может быть корректно рассчитан в силу отсутствия нарушений антимонопольного законодательства со стороны </w:t>
      </w:r>
      <w:r>
        <w:rPr>
          <w:rFonts w:cs="Times New Roman" w:ascii="Times New Roman" w:hAnsi="Times New Roman"/>
          <w:sz w:val="28"/>
          <w:szCs w:val="28"/>
        </w:rPr>
        <w:t>Комитета</w:t>
      </w:r>
      <w:r>
        <w:rPr>
          <w:rFonts w:cs="Times New Roman" w:ascii="Times New Roman" w:hAnsi="Times New Roman"/>
          <w:spacing w:val="2"/>
          <w:sz w:val="28"/>
          <w:szCs w:val="28"/>
        </w:rPr>
        <w:t xml:space="preserve"> в рассматриваемом периоде.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cs="Times New Roman" w:ascii="Times New Roman" w:hAnsi="Times New Roman"/>
          <w:spacing w:val="2"/>
          <w:sz w:val="28"/>
          <w:szCs w:val="28"/>
        </w:rPr>
        <w:t>Таким образом, можно считать его выполненным.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pacing w:val="2"/>
          <w:sz w:val="28"/>
          <w:szCs w:val="28"/>
          <w:highlight w:val="white"/>
        </w:rPr>
      </w:pPr>
      <w:r>
        <w:rPr>
          <w:rFonts w:cs="Times New Roman" w:ascii="Times New Roman" w:hAnsi="Times New Roman"/>
          <w:spacing w:val="2"/>
          <w:sz w:val="28"/>
          <w:szCs w:val="28"/>
        </w:rPr>
        <w:t>2. </w:t>
      </w:r>
      <w:r>
        <w:rPr>
          <w:rFonts w:cs="Times New Roman" w:ascii="Times New Roman" w:hAnsi="Times New Roman"/>
          <w:spacing w:val="2"/>
          <w:sz w:val="28"/>
          <w:szCs w:val="28"/>
          <w:shd w:fill="FFFFFF" w:val="clear"/>
        </w:rPr>
        <w:t xml:space="preserve">Доля проектов нормативных правовых актов </w:t>
      </w:r>
      <w:r>
        <w:rPr>
          <w:rFonts w:cs="Times New Roman" w:ascii="Times New Roman" w:hAnsi="Times New Roman"/>
          <w:sz w:val="28"/>
          <w:szCs w:val="28"/>
        </w:rPr>
        <w:t>Комитета</w:t>
      </w:r>
      <w:r>
        <w:rPr>
          <w:rFonts w:cs="Times New Roman" w:ascii="Times New Roman" w:hAnsi="Times New Roman"/>
          <w:spacing w:val="2"/>
          <w:sz w:val="28"/>
          <w:szCs w:val="28"/>
          <w:shd w:fill="FFFFFF" w:val="clear"/>
        </w:rPr>
        <w:t>,</w:t>
        <w:br/>
        <w:t>в которых выявлены риски нарушения антимонопольного законодательства.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pacing w:val="2"/>
          <w:sz w:val="28"/>
          <w:szCs w:val="28"/>
          <w:highlight w:val="white"/>
        </w:rPr>
      </w:pPr>
      <w:r>
        <w:rPr>
          <w:rFonts w:cs="Times New Roman" w:ascii="Times New Roman" w:hAnsi="Times New Roman"/>
          <w:spacing w:val="2"/>
          <w:sz w:val="28"/>
          <w:szCs w:val="28"/>
          <w:shd w:fill="FFFFFF" w:val="clear"/>
        </w:rPr>
        <w:t xml:space="preserve">В силу отсутствия проектов нормативных правовых актов </w:t>
      </w:r>
      <w:r>
        <w:rPr>
          <w:rFonts w:cs="Times New Roman" w:ascii="Times New Roman" w:hAnsi="Times New Roman"/>
          <w:sz w:val="28"/>
          <w:szCs w:val="28"/>
        </w:rPr>
        <w:t>Комитета,</w:t>
      </w:r>
      <w:r>
        <w:rPr>
          <w:rFonts w:cs="Times New Roman" w:ascii="Times New Roman" w:hAnsi="Times New Roman"/>
          <w:spacing w:val="2"/>
          <w:sz w:val="28"/>
          <w:szCs w:val="28"/>
          <w:shd w:fill="FFFFFF" w:val="clear"/>
        </w:rPr>
        <w:t xml:space="preserve"> в которых выявлены риски нарушения антимонопольного законодательства данный показатель равен нулю, т.е. выполнен</w:t>
        <w:br/>
        <w:t>на 100%.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pacing w:val="2"/>
          <w:sz w:val="28"/>
          <w:szCs w:val="28"/>
          <w:highlight w:val="white"/>
        </w:rPr>
      </w:pPr>
      <w:r>
        <w:rPr>
          <w:rFonts w:cs="Times New Roman" w:ascii="Times New Roman" w:hAnsi="Times New Roman"/>
          <w:spacing w:val="2"/>
          <w:sz w:val="28"/>
          <w:szCs w:val="28"/>
          <w:shd w:fill="FFFFFF" w:val="clear"/>
        </w:rPr>
        <w:t xml:space="preserve">3. Доля нормативных правовых актов </w:t>
      </w:r>
      <w:r>
        <w:rPr>
          <w:rFonts w:cs="Times New Roman" w:ascii="Times New Roman" w:hAnsi="Times New Roman"/>
          <w:sz w:val="28"/>
          <w:szCs w:val="28"/>
        </w:rPr>
        <w:t>Комитет</w:t>
      </w:r>
      <w:r>
        <w:rPr>
          <w:rFonts w:cs="Times New Roman" w:ascii="Times New Roman" w:hAnsi="Times New Roman"/>
          <w:spacing w:val="2"/>
          <w:sz w:val="28"/>
          <w:szCs w:val="28"/>
          <w:shd w:fill="FFFFFF" w:val="clear"/>
        </w:rPr>
        <w:t>а, в которых выявлены риски нарушения антимонопольного законодательства.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pacing w:val="2"/>
          <w:sz w:val="28"/>
          <w:szCs w:val="28"/>
          <w:highlight w:val="white"/>
        </w:rPr>
      </w:pPr>
      <w:r>
        <w:rPr>
          <w:rFonts w:cs="Times New Roman" w:ascii="Times New Roman" w:hAnsi="Times New Roman"/>
          <w:spacing w:val="2"/>
          <w:sz w:val="28"/>
          <w:szCs w:val="28"/>
          <w:shd w:fill="FFFFFF" w:val="clear"/>
        </w:rPr>
        <w:t>Данный показатель равен нулю, т.е. выполнен на 100%.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pacing w:val="2"/>
          <w:sz w:val="28"/>
          <w:szCs w:val="28"/>
          <w:highlight w:val="white"/>
        </w:rPr>
      </w:pPr>
      <w:r>
        <w:rPr>
          <w:rFonts w:cs="Times New Roman" w:ascii="Times New Roman" w:hAnsi="Times New Roman"/>
          <w:spacing w:val="2"/>
          <w:sz w:val="28"/>
          <w:szCs w:val="28"/>
          <w:shd w:fill="FFFFFF" w:val="clear"/>
        </w:rPr>
        <w:t xml:space="preserve">4. Доля сотрудников </w:t>
      </w:r>
      <w:r>
        <w:rPr>
          <w:rFonts w:cs="Times New Roman" w:ascii="Times New Roman" w:hAnsi="Times New Roman"/>
          <w:sz w:val="28"/>
          <w:szCs w:val="28"/>
        </w:rPr>
        <w:t>Комитет</w:t>
      </w:r>
      <w:r>
        <w:rPr>
          <w:rFonts w:cs="Times New Roman" w:ascii="Times New Roman" w:hAnsi="Times New Roman"/>
          <w:spacing w:val="2"/>
          <w:sz w:val="28"/>
          <w:szCs w:val="28"/>
          <w:shd w:fill="FFFFFF" w:val="clear"/>
        </w:rPr>
        <w:t>а, в отношении которых были проведены обучающие мероприятия по антимонопольному законодательству и антимонопольному комплаенсу.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Учеба</w:t>
      </w:r>
      <w:r>
        <w:rPr>
          <w:rFonts w:cs="Times New Roman" w:ascii="Times New Roman" w:hAnsi="Times New Roman"/>
          <w:spacing w:val="2"/>
          <w:sz w:val="28"/>
          <w:szCs w:val="28"/>
          <w:shd w:fill="FFFFFF" w:val="clear"/>
        </w:rPr>
        <w:t xml:space="preserve"> по антимонопольному законодательству</w:t>
        <w:br/>
        <w:t>и антимонопольному комплаенсу</w:t>
      </w:r>
      <w:r>
        <w:rPr>
          <w:rFonts w:cs="Times New Roman" w:ascii="Times New Roman" w:hAnsi="Times New Roman"/>
          <w:sz w:val="28"/>
          <w:szCs w:val="28"/>
        </w:rPr>
        <w:t xml:space="preserve"> для 100% сотрудников Комитет была проведена в 2022 году.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Таким образом, в 2022 году все ключевые показатели эффективности функционирования антимонопольного комплаенса</w:t>
        <w:br/>
        <w:t>в Комитете выполнены на 100%.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Информация о реализации всех вышеперечисленных мероприятий размещена на </w:t>
      </w:r>
      <w:r>
        <w:rPr>
          <w:rFonts w:cs="Times New Roman" w:ascii="Times New Roman" w:hAnsi="Times New Roman"/>
          <w:spacing w:val="2"/>
          <w:sz w:val="28"/>
          <w:szCs w:val="28"/>
        </w:rPr>
        <w:t xml:space="preserve">официальном сайте </w:t>
      </w:r>
      <w:r>
        <w:rPr>
          <w:rFonts w:cs="Times New Roman" w:ascii="Times New Roman" w:hAnsi="Times New Roman"/>
          <w:sz w:val="28"/>
          <w:szCs w:val="28"/>
        </w:rPr>
        <w:t xml:space="preserve">Комитета </w:t>
      </w:r>
      <w:r>
        <w:rPr>
          <w:rFonts w:cs="Times New Roman" w:ascii="Times New Roman" w:hAnsi="Times New Roman"/>
          <w:spacing w:val="2"/>
          <w:sz w:val="28"/>
          <w:szCs w:val="28"/>
        </w:rPr>
        <w:t xml:space="preserve">в информационно-телекоммуникационной сети «Интернет» в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разделе «Антимонопольный комплаенс».</w:t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tabs>
          <w:tab w:val="clear" w:pos="708"/>
          <w:tab w:val="left" w:pos="993" w:leader="none"/>
        </w:tabs>
        <w:ind w:left="0" w:hanging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</w:t>
      </w:r>
    </w:p>
    <w:sectPr>
      <w:headerReference w:type="default" r:id="rId2"/>
      <w:type w:val="nextPage"/>
      <w:pgSz w:w="11906" w:h="16838"/>
      <w:pgMar w:left="1985" w:right="1134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jc w:val="right"/>
      <w:rPr>
        <w:rFonts w:ascii="Times New Roman" w:hAnsi="Times New Roman" w:cs="Times New Roman"/>
        <w:sz w:val="28"/>
        <w:szCs w:val="28"/>
      </w:rPr>
    </w:pPr>
    <w:r>
      <w:rPr>
        <w:rFonts w:cs="Times New Roman" w:ascii="Times New Roman" w:hAnsi="Times New Roman"/>
        <w:sz w:val="28"/>
        <w:szCs w:val="28"/>
      </w:rPr>
      <w:fldChar w:fldCharType="begin"/>
    </w:r>
    <w:r>
      <w:rPr>
        <w:sz w:val="28"/>
        <w:szCs w:val="28"/>
        <w:rFonts w:cs="Times New Roman" w:ascii="Times New Roman" w:hAnsi="Times New Roman"/>
      </w:rPr>
      <w:instrText> PAGE </w:instrText>
    </w:r>
    <w:r>
      <w:rPr>
        <w:sz w:val="28"/>
        <w:szCs w:val="28"/>
        <w:rFonts w:cs="Times New Roman" w:ascii="Times New Roman" w:hAnsi="Times New Roman"/>
      </w:rPr>
      <w:fldChar w:fldCharType="separate"/>
    </w:r>
    <w:r>
      <w:rPr>
        <w:sz w:val="28"/>
        <w:szCs w:val="28"/>
        <w:rFonts w:cs="Times New Roman" w:ascii="Times New Roman" w:hAnsi="Times New Roman"/>
      </w:rPr>
      <w:t>3</w:t>
    </w:r>
    <w:r>
      <w:rPr>
        <w:sz w:val="28"/>
        <w:szCs w:val="28"/>
        <w:rFonts w:cs="Times New Roman" w:ascii="Times New Roman" w:hAnsi="Times New Roman"/>
      </w:rPr>
      <w:fldChar w:fldCharType="end"/>
    </w:r>
  </w:p>
  <w:p>
    <w:pPr>
      <w:pStyle w:val="Style17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doNotHyphenateCap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locked="0" w:unhideWhenUsed="0"/>
    <w:lsdException w:name="No Spacing" w:locked="0" w:uiPriority="1" w:semiHidden="0" w:unhideWhenUsed="0" w:qFormat="1"/>
    <w:lsdException w:name="Light Shading" w:locked="0" w:uiPriority="60" w:semiHidden="0" w:unhideWhenUsed="0"/>
    <w:lsdException w:name="Light List" w:locked="0" w:uiPriority="61" w:semiHidden="0" w:unhideWhenUsed="0"/>
    <w:lsdException w:name="Light Grid" w:locked="0" w:uiPriority="62" w:semiHidden="0" w:unhideWhenUsed="0"/>
    <w:lsdException w:name="Medium Shading 1" w:locked="0" w:uiPriority="63" w:semiHidden="0" w:unhideWhenUsed="0"/>
    <w:lsdException w:name="Medium Shading 2" w:locked="0" w:uiPriority="64" w:semiHidden="0" w:unhideWhenUsed="0"/>
    <w:lsdException w:name="Medium List 1" w:locked="0" w:uiPriority="65" w:semiHidden="0" w:unhideWhenUsed="0"/>
    <w:lsdException w:name="Medium List 2" w:locked="0" w:uiPriority="66" w:semiHidden="0" w:unhideWhenUsed="0"/>
    <w:lsdException w:name="Medium Grid 1" w:locked="0" w:uiPriority="67" w:semiHidden="0" w:unhideWhenUsed="0"/>
    <w:lsdException w:name="Medium Grid 2" w:locked="0" w:uiPriority="68" w:semiHidden="0" w:unhideWhenUsed="0"/>
    <w:lsdException w:name="Medium Grid 3" w:locked="0" w:uiPriority="69" w:semiHidden="0" w:unhideWhenUsed="0"/>
    <w:lsdException w:name="Dark List" w:locked="0" w:uiPriority="70" w:semiHidden="0" w:unhideWhenUsed="0"/>
    <w:lsdException w:name="Colorful Shading" w:locked="0" w:uiPriority="71" w:semiHidden="0" w:unhideWhenUsed="0"/>
    <w:lsdException w:name="Colorful List" w:locked="0" w:uiPriority="72" w:semiHidden="0" w:unhideWhenUsed="0"/>
    <w:lsdException w:name="Colorful Grid" w:locked="0" w:uiPriority="73" w:semiHidden="0" w:unhideWhenUsed="0"/>
    <w:lsdException w:name="Light Shading Accent 1" w:locked="0" w:uiPriority="60" w:semiHidden="0" w:unhideWhenUsed="0"/>
    <w:lsdException w:name="Light List Accent 1" w:locked="0" w:uiPriority="61" w:semiHidden="0" w:unhideWhenUsed="0"/>
    <w:lsdException w:name="Light Grid Accent 1" w:locked="0" w:uiPriority="62" w:semiHidden="0" w:unhideWhenUsed="0"/>
    <w:lsdException w:name="Medium Shading 1 Accent 1" w:locked="0" w:uiPriority="63" w:semiHidden="0" w:unhideWhenUsed="0"/>
    <w:lsdException w:name="Medium Shading 2 Accent 1" w:locked="0" w:uiPriority="64" w:semiHidden="0" w:unhideWhenUsed="0"/>
    <w:lsdException w:name="Medium List 1 Accent 1" w:locked="0" w:uiPriority="65" w:semiHidden="0" w:unhideWhenUsed="0"/>
    <w:lsdException w:name="Revision" w:locked="0" w:unhideWhenUsed="0"/>
    <w:lsdException w:name="List Paragraph" w:locked="0" w:uiPriority="34" w:semiHidden="0" w:unhideWhenUsed="0" w:qFormat="1"/>
    <w:lsdException w:name="Quote" w:locked="0" w:uiPriority="29" w:semiHidden="0" w:unhideWhenUsed="0" w:qFormat="1"/>
    <w:lsdException w:name="Intense Quote" w:locked="0" w:uiPriority="30" w:semiHidden="0" w:unhideWhenUsed="0" w:qFormat="1"/>
    <w:lsdException w:name="Medium List 2 Accent 1" w:locked="0" w:uiPriority="66" w:semiHidden="0" w:unhideWhenUsed="0"/>
    <w:lsdException w:name="Medium Grid 1 Accent 1" w:locked="0" w:uiPriority="67" w:semiHidden="0" w:unhideWhenUsed="0"/>
    <w:lsdException w:name="Medium Grid 2 Accent 1" w:locked="0" w:uiPriority="68" w:semiHidden="0" w:unhideWhenUsed="0"/>
    <w:lsdException w:name="Medium Grid 3 Accent 1" w:locked="0" w:uiPriority="69" w:semiHidden="0" w:unhideWhenUsed="0"/>
    <w:lsdException w:name="Dark List Accent 1" w:locked="0" w:uiPriority="70" w:semiHidden="0" w:unhideWhenUsed="0"/>
    <w:lsdException w:name="Colorful Shading Accent 1" w:locked="0" w:uiPriority="71" w:semiHidden="0" w:unhideWhenUsed="0"/>
    <w:lsdException w:name="Colorful List Accent 1" w:locked="0" w:uiPriority="72" w:semiHidden="0" w:unhideWhenUsed="0"/>
    <w:lsdException w:name="Colorful Grid Accent 1" w:locked="0" w:uiPriority="73" w:semiHidden="0" w:unhideWhenUsed="0"/>
    <w:lsdException w:name="Light Shading Accent 2" w:locked="0" w:uiPriority="60" w:semiHidden="0" w:unhideWhenUsed="0"/>
    <w:lsdException w:name="Light List Accent 2" w:locked="0" w:uiPriority="61" w:semiHidden="0" w:unhideWhenUsed="0"/>
    <w:lsdException w:name="Light Grid Accent 2" w:locked="0" w:uiPriority="62" w:semiHidden="0" w:unhideWhenUsed="0"/>
    <w:lsdException w:name="Medium Shading 1 Accent 2" w:locked="0" w:uiPriority="63" w:semiHidden="0" w:unhideWhenUsed="0"/>
    <w:lsdException w:name="Medium Shading 2 Accent 2" w:locked="0" w:uiPriority="64" w:semiHidden="0" w:unhideWhenUsed="0"/>
    <w:lsdException w:name="Medium List 1 Accent 2" w:locked="0" w:uiPriority="65" w:semiHidden="0" w:unhideWhenUsed="0"/>
    <w:lsdException w:name="Medium List 2 Accent 2" w:locked="0" w:uiPriority="66" w:semiHidden="0" w:unhideWhenUsed="0"/>
    <w:lsdException w:name="Medium Grid 1 Accent 2" w:locked="0" w:uiPriority="67" w:semiHidden="0" w:unhideWhenUsed="0"/>
    <w:lsdException w:name="Medium Grid 2 Accent 2" w:locked="0" w:uiPriority="68" w:semiHidden="0" w:unhideWhenUsed="0"/>
    <w:lsdException w:name="Medium Grid 3 Accent 2" w:locked="0" w:uiPriority="69" w:semiHidden="0" w:unhideWhenUsed="0"/>
    <w:lsdException w:name="Dark List Accent 2" w:locked="0" w:uiPriority="70" w:semiHidden="0" w:unhideWhenUsed="0"/>
    <w:lsdException w:name="Colorful Shading Accent 2" w:locked="0" w:uiPriority="71" w:semiHidden="0" w:unhideWhenUsed="0"/>
    <w:lsdException w:name="Colorful List Accent 2" w:locked="0" w:uiPriority="72" w:semiHidden="0" w:unhideWhenUsed="0"/>
    <w:lsdException w:name="Colorful Grid Accent 2" w:locked="0" w:uiPriority="73" w:semiHidden="0" w:unhideWhenUsed="0"/>
    <w:lsdException w:name="Light Shading Accent 3" w:locked="0" w:uiPriority="60" w:semiHidden="0" w:unhideWhenUsed="0"/>
    <w:lsdException w:name="Light List Accent 3" w:locked="0" w:uiPriority="61" w:semiHidden="0" w:unhideWhenUsed="0"/>
    <w:lsdException w:name="Light Grid Accent 3" w:locked="0" w:uiPriority="62" w:semiHidden="0" w:unhideWhenUsed="0"/>
    <w:lsdException w:name="Medium Shading 1 Accent 3" w:locked="0" w:uiPriority="63" w:semiHidden="0" w:unhideWhenUsed="0"/>
    <w:lsdException w:name="Medium Shading 2 Accent 3" w:locked="0" w:uiPriority="64" w:semiHidden="0" w:unhideWhenUsed="0"/>
    <w:lsdException w:name="Medium List 1 Accent 3" w:locked="0" w:uiPriority="65" w:semiHidden="0" w:unhideWhenUsed="0"/>
    <w:lsdException w:name="Medium List 2 Accent 3" w:locked="0" w:uiPriority="66" w:semiHidden="0" w:unhideWhenUsed="0"/>
    <w:lsdException w:name="Medium Grid 1 Accent 3" w:locked="0" w:uiPriority="67" w:semiHidden="0" w:unhideWhenUsed="0"/>
    <w:lsdException w:name="Medium Grid 2 Accent 3" w:locked="0" w:uiPriority="68" w:semiHidden="0" w:unhideWhenUsed="0"/>
    <w:lsdException w:name="Medium Grid 3 Accent 3" w:locked="0" w:uiPriority="69" w:semiHidden="0" w:unhideWhenUsed="0"/>
    <w:lsdException w:name="Dark List Accent 3" w:locked="0" w:uiPriority="70" w:semiHidden="0" w:unhideWhenUsed="0"/>
    <w:lsdException w:name="Colorful Shading Accent 3" w:locked="0" w:uiPriority="71" w:semiHidden="0" w:unhideWhenUsed="0"/>
    <w:lsdException w:name="Colorful List Accent 3" w:locked="0" w:uiPriority="72" w:semiHidden="0" w:unhideWhenUsed="0"/>
    <w:lsdException w:name="Colorful Grid Accent 3" w:locked="0" w:uiPriority="73" w:semiHidden="0" w:unhideWhenUsed="0"/>
    <w:lsdException w:name="Light Shading Accent 4" w:locked="0" w:uiPriority="60" w:semiHidden="0" w:unhideWhenUsed="0"/>
    <w:lsdException w:name="Light List Accent 4" w:locked="0" w:uiPriority="61" w:semiHidden="0" w:unhideWhenUsed="0"/>
    <w:lsdException w:name="Light Grid Accent 4" w:locked="0" w:uiPriority="62" w:semiHidden="0" w:unhideWhenUsed="0"/>
    <w:lsdException w:name="Medium Shading 1 Accent 4" w:locked="0" w:uiPriority="63" w:semiHidden="0" w:unhideWhenUsed="0"/>
    <w:lsdException w:name="Medium Shading 2 Accent 4" w:locked="0" w:uiPriority="64" w:semiHidden="0" w:unhideWhenUsed="0"/>
    <w:lsdException w:name="Medium List 1 Accent 4" w:locked="0" w:uiPriority="65" w:semiHidden="0" w:unhideWhenUsed="0"/>
    <w:lsdException w:name="Medium List 2 Accent 4" w:locked="0" w:uiPriority="66" w:semiHidden="0" w:unhideWhenUsed="0"/>
    <w:lsdException w:name="Medium Grid 1 Accent 4" w:locked="0" w:uiPriority="67" w:semiHidden="0" w:unhideWhenUsed="0"/>
    <w:lsdException w:name="Medium Grid 2 Accent 4" w:locked="0" w:uiPriority="68" w:semiHidden="0" w:unhideWhenUsed="0"/>
    <w:lsdException w:name="Medium Grid 3 Accent 4" w:locked="0" w:uiPriority="69" w:semiHidden="0" w:unhideWhenUsed="0"/>
    <w:lsdException w:name="Dark List Accent 4" w:locked="0" w:uiPriority="70" w:semiHidden="0" w:unhideWhenUsed="0"/>
    <w:lsdException w:name="Colorful Shading Accent 4" w:locked="0" w:uiPriority="71" w:semiHidden="0" w:unhideWhenUsed="0"/>
    <w:lsdException w:name="Colorful List Accent 4" w:locked="0" w:uiPriority="72" w:semiHidden="0" w:unhideWhenUsed="0"/>
    <w:lsdException w:name="Colorful Grid Accent 4" w:locked="0" w:uiPriority="73" w:semiHidden="0" w:unhideWhenUsed="0"/>
    <w:lsdException w:name="Light Shading Accent 5" w:locked="0" w:uiPriority="60" w:semiHidden="0" w:unhideWhenUsed="0"/>
    <w:lsdException w:name="Light List Accent 5" w:locked="0" w:uiPriority="61" w:semiHidden="0" w:unhideWhenUsed="0"/>
    <w:lsdException w:name="Light Grid Accent 5" w:locked="0" w:uiPriority="62" w:semiHidden="0" w:unhideWhenUsed="0"/>
    <w:lsdException w:name="Medium Shading 1 Accent 5" w:locked="0" w:uiPriority="63" w:semiHidden="0" w:unhideWhenUsed="0"/>
    <w:lsdException w:name="Medium Shading 2 Accent 5" w:locked="0" w:uiPriority="64" w:semiHidden="0" w:unhideWhenUsed="0"/>
    <w:lsdException w:name="Medium List 1 Accent 5" w:locked="0" w:uiPriority="65" w:semiHidden="0" w:unhideWhenUsed="0"/>
    <w:lsdException w:name="Medium List 2 Accent 5" w:locked="0" w:uiPriority="66" w:semiHidden="0" w:unhideWhenUsed="0"/>
    <w:lsdException w:name="Medium Grid 1 Accent 5" w:locked="0" w:uiPriority="67" w:semiHidden="0" w:unhideWhenUsed="0"/>
    <w:lsdException w:name="Medium Grid 2 Accent 5" w:locked="0" w:uiPriority="68" w:semiHidden="0" w:unhideWhenUsed="0"/>
    <w:lsdException w:name="Medium Grid 3 Accent 5" w:locked="0" w:uiPriority="69" w:semiHidden="0" w:unhideWhenUsed="0"/>
    <w:lsdException w:name="Dark List Accent 5" w:locked="0" w:uiPriority="70" w:semiHidden="0" w:unhideWhenUsed="0"/>
    <w:lsdException w:name="Colorful Shading Accent 5" w:locked="0" w:uiPriority="71" w:semiHidden="0" w:unhideWhenUsed="0"/>
    <w:lsdException w:name="Colorful List Accent 5" w:locked="0" w:uiPriority="72" w:semiHidden="0" w:unhideWhenUsed="0"/>
    <w:lsdException w:name="Colorful Grid Accent 5" w:locked="0" w:uiPriority="73" w:semiHidden="0" w:unhideWhenUsed="0"/>
    <w:lsdException w:name="Light Shading Accent 6" w:locked="0" w:uiPriority="60" w:semiHidden="0" w:unhideWhenUsed="0"/>
    <w:lsdException w:name="Light List Accent 6" w:locked="0" w:uiPriority="61" w:semiHidden="0" w:unhideWhenUsed="0"/>
    <w:lsdException w:name="Light Grid Accent 6" w:locked="0" w:uiPriority="62" w:semiHidden="0" w:unhideWhenUsed="0"/>
    <w:lsdException w:name="Medium Shading 1 Accent 6" w:locked="0" w:uiPriority="63" w:semiHidden="0" w:unhideWhenUsed="0"/>
    <w:lsdException w:name="Medium Shading 2 Accent 6" w:locked="0" w:uiPriority="64" w:semiHidden="0" w:unhideWhenUsed="0"/>
    <w:lsdException w:name="Medium List 1 Accent 6" w:locked="0" w:uiPriority="65" w:semiHidden="0" w:unhideWhenUsed="0"/>
    <w:lsdException w:name="Medium List 2 Accent 6" w:locked="0" w:uiPriority="66" w:semiHidden="0" w:unhideWhenUsed="0"/>
    <w:lsdException w:name="Medium Grid 1 Accent 6" w:locked="0" w:uiPriority="67" w:semiHidden="0" w:unhideWhenUsed="0"/>
    <w:lsdException w:name="Medium Grid 2 Accent 6" w:locked="0" w:uiPriority="68" w:semiHidden="0" w:unhideWhenUsed="0"/>
    <w:lsdException w:name="Medium Grid 3 Accent 6" w:locked="0" w:uiPriority="69" w:semiHidden="0" w:unhideWhenUsed="0"/>
    <w:lsdException w:name="Dark List Accent 6" w:locked="0" w:uiPriority="70" w:semiHidden="0" w:unhideWhenUsed="0"/>
    <w:lsdException w:name="Colorful Shading Accent 6" w:locked="0" w:uiPriority="71" w:semiHidden="0" w:unhideWhenUsed="0"/>
    <w:lsdException w:name="Colorful List Accent 6" w:locked="0" w:uiPriority="72" w:semiHidden="0" w:unhideWhenUsed="0"/>
    <w:lsdException w:name="Colorful Grid Accent 6" w:locked="0" w:uiPriority="73" w:semiHidden="0" w:unhideWhenUsed="0"/>
    <w:lsdException w:name="Subtle Emphasis" w:locked="0" w:uiPriority="19" w:semiHidden="0" w:unhideWhenUsed="0" w:qFormat="1"/>
    <w:lsdException w:name="Intense Emphasis" w:locked="0" w:uiPriority="21" w:semiHidden="0" w:unhideWhenUsed="0" w:qFormat="1"/>
    <w:lsdException w:name="Subtle Reference" w:locked="0" w:uiPriority="31" w:semiHidden="0" w:unhideWhenUsed="0" w:qFormat="1"/>
    <w:lsdException w:name="Intense Reference" w:locked="0" w:uiPriority="32" w:semiHidden="0" w:unhideWhenUsed="0" w:qFormat="1"/>
    <w:lsdException w:name="Book Title" w:locked="0" w:uiPriority="33" w:semiHidden="0" w:unhideWhenUsed="0" w:qFormat="1"/>
    <w:lsdException w:name="Bibliography" w:locked="0" w:uiPriority="37"/>
    <w:lsdException w:name="TOC Heading" w:locked="0" w:uiPriority="39" w:qFormat="1"/>
  </w:latentStyles>
  <w:style w:type="paragraph" w:styleId="Normal" w:default="1">
    <w:name w:val="Normal"/>
    <w:qFormat/>
    <w:rsid w:val="00981a5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144bc5"/>
    <w:pPr>
      <w:keepNext w:val="true"/>
      <w:spacing w:lineRule="auto" w:line="240" w:before="0" w:after="0"/>
      <w:jc w:val="center"/>
      <w:outlineLvl w:val="0"/>
    </w:pPr>
    <w:rPr>
      <w:sz w:val="24"/>
      <w:szCs w:val="24"/>
      <w:lang w:eastAsia="ru-RU"/>
    </w:rPr>
  </w:style>
  <w:style w:type="paragraph" w:styleId="2">
    <w:name w:val="Heading 2"/>
    <w:basedOn w:val="Normal"/>
    <w:next w:val="Normal"/>
    <w:link w:val="Heading2Char"/>
    <w:uiPriority w:val="99"/>
    <w:qFormat/>
    <w:rsid w:val="00144bc5"/>
    <w:pPr>
      <w:keepNext w:val="true"/>
      <w:spacing w:lineRule="auto" w:line="240" w:before="0" w:after="0"/>
      <w:jc w:val="center"/>
      <w:outlineLvl w:val="1"/>
    </w:pPr>
    <w:rPr>
      <w:b/>
      <w:bCs/>
      <w:spacing w:val="40"/>
      <w:sz w:val="40"/>
      <w:szCs w:val="40"/>
      <w:lang w:eastAsia="ru-RU"/>
    </w:rPr>
  </w:style>
  <w:style w:type="paragraph" w:styleId="5">
    <w:name w:val="Heading 5"/>
    <w:basedOn w:val="Normal"/>
    <w:next w:val="Normal"/>
    <w:link w:val="Heading5Char"/>
    <w:uiPriority w:val="99"/>
    <w:qFormat/>
    <w:rsid w:val="00d41b6f"/>
    <w:pPr>
      <w:keepNext w:val="true"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Normal"/>
    <w:next w:val="Normal"/>
    <w:link w:val="Heading6Char"/>
    <w:uiPriority w:val="99"/>
    <w:qFormat/>
    <w:rsid w:val="00d41b6f"/>
    <w:pPr>
      <w:keepNext w:val="true"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144bc5"/>
    <w:rPr>
      <w:rFonts w:ascii="Times New Roman" w:hAnsi="Times New Roman" w:cs="Times New Roman"/>
      <w:sz w:val="20"/>
      <w:szCs w:val="20"/>
      <w:lang w:eastAsia="ru-RU"/>
    </w:rPr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144bc5"/>
    <w:rPr>
      <w:rFonts w:ascii="Times New Roman" w:hAnsi="Times New Roman" w:cs="Times New Roman"/>
      <w:b/>
      <w:bCs/>
      <w:spacing w:val="40"/>
      <w:sz w:val="20"/>
      <w:szCs w:val="20"/>
      <w:lang w:eastAsia="ru-RU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d41b6f"/>
    <w:rPr>
      <w:rFonts w:ascii="Cambria" w:hAnsi="Cambria" w:cs="Cambria"/>
      <w:color w:val="243F60"/>
    </w:rPr>
  </w:style>
  <w:style w:type="character" w:styleId="Heading6Char" w:customStyle="1">
    <w:name w:val="Heading 6 Char"/>
    <w:basedOn w:val="DefaultParagraphFont"/>
    <w:link w:val="Heading6"/>
    <w:uiPriority w:val="99"/>
    <w:semiHidden/>
    <w:qFormat/>
    <w:locked/>
    <w:rsid w:val="00d41b6f"/>
    <w:rPr>
      <w:rFonts w:ascii="Cambria" w:hAnsi="Cambria" w:cs="Cambria"/>
      <w:i/>
      <w:iCs/>
      <w:color w:val="243F6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994ad2"/>
    <w:rPr>
      <w:rFonts w:ascii="Tahoma" w:hAnsi="Tahoma" w:cs="Tahoma"/>
      <w:sz w:val="16"/>
      <w:szCs w:val="16"/>
    </w:rPr>
  </w:style>
  <w:style w:type="character" w:styleId="FontStyle18" w:customStyle="1">
    <w:name w:val="Font Style18"/>
    <w:basedOn w:val="DefaultParagraphFont"/>
    <w:uiPriority w:val="99"/>
    <w:qFormat/>
    <w:rsid w:val="003b0c5c"/>
    <w:rPr>
      <w:rFonts w:ascii="Times New Roman" w:hAnsi="Times New Roman" w:cs="Times New Roman"/>
      <w:b/>
      <w:bCs/>
      <w:sz w:val="24"/>
      <w:szCs w:val="24"/>
    </w:rPr>
  </w:style>
  <w:style w:type="character" w:styleId="FontStyle15" w:customStyle="1">
    <w:name w:val="Font Style15"/>
    <w:basedOn w:val="DefaultParagraphFont"/>
    <w:uiPriority w:val="99"/>
    <w:qFormat/>
    <w:rsid w:val="003b0c5c"/>
    <w:rPr>
      <w:rFonts w:ascii="Times New Roman" w:hAnsi="Times New Roman" w:cs="Times New Roman"/>
      <w:sz w:val="24"/>
      <w:szCs w:val="24"/>
    </w:rPr>
  </w:style>
  <w:style w:type="character" w:styleId="Style10">
    <w:name w:val="Интернет-ссылка"/>
    <w:basedOn w:val="DefaultParagraphFont"/>
    <w:uiPriority w:val="99"/>
    <w:rsid w:val="002a2fb8"/>
    <w:rPr>
      <w:color w:val="0000FF"/>
      <w:u w:val="single"/>
    </w:rPr>
  </w:style>
  <w:style w:type="character" w:styleId="WWAbsatzStandardschriftart1" w:customStyle="1">
    <w:name w:val="WW-Absatz-Standardschriftart1"/>
    <w:uiPriority w:val="99"/>
    <w:qFormat/>
    <w:rsid w:val="009d7fc5"/>
    <w:rPr/>
  </w:style>
  <w:style w:type="character" w:styleId="Blk" w:customStyle="1">
    <w:name w:val="blk"/>
    <w:basedOn w:val="DefaultParagraphFont"/>
    <w:uiPriority w:val="99"/>
    <w:qFormat/>
    <w:rsid w:val="006b3cc7"/>
    <w:rPr/>
  </w:style>
  <w:style w:type="character" w:styleId="21" w:customStyle="1">
    <w:name w:val="Основной текст (2)_"/>
    <w:basedOn w:val="DefaultParagraphFont"/>
    <w:uiPriority w:val="99"/>
    <w:qFormat/>
    <w:rsid w:val="00bc4468"/>
    <w:rPr>
      <w:rFonts w:ascii="Times New Roman" w:hAnsi="Times New Roman" w:cs="Times New Roman"/>
      <w:sz w:val="28"/>
      <w:szCs w:val="28"/>
      <w:u w:val="none"/>
    </w:rPr>
  </w:style>
  <w:style w:type="character" w:styleId="22" w:customStyle="1">
    <w:name w:val="Основной текст (2) + Полужирный"/>
    <w:basedOn w:val="21"/>
    <w:uiPriority w:val="99"/>
    <w:qFormat/>
    <w:rsid w:val="00bc4468"/>
    <w:rPr>
      <w:b/>
      <w:bCs/>
      <w:color w:val="000000"/>
      <w:spacing w:val="0"/>
      <w:w w:val="100"/>
      <w:lang w:val="ru-RU" w:eastAsia="ru-RU"/>
    </w:rPr>
  </w:style>
  <w:style w:type="character" w:styleId="23" w:customStyle="1">
    <w:name w:val="Основной текст (2)"/>
    <w:basedOn w:val="21"/>
    <w:uiPriority w:val="99"/>
    <w:qFormat/>
    <w:rsid w:val="00bc4468"/>
    <w:rPr>
      <w:color w:val="000000"/>
      <w:spacing w:val="0"/>
      <w:w w:val="100"/>
      <w:lang w:val="ru-RU" w:eastAsia="ru-RU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9e5770"/>
    <w:rPr/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9e5770"/>
    <w:rPr/>
  </w:style>
  <w:style w:type="character" w:styleId="Strong">
    <w:name w:val="Strong"/>
    <w:basedOn w:val="DefaultParagraphFont"/>
    <w:uiPriority w:val="99"/>
    <w:qFormat/>
    <w:rsid w:val="00e8118c"/>
    <w:rPr>
      <w:b/>
      <w:bCs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ascii="PT Astra Serif" w:hAnsi="PT Astra Serif" w:cs="Noto Sans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99"/>
    <w:qFormat/>
    <w:rsid w:val="00981a50"/>
    <w:pPr>
      <w:ind w:left="720" w:hanging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994ad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uiPriority w:val="99"/>
    <w:qFormat/>
    <w:rsid w:val="006b3cc7"/>
    <w:pPr>
      <w:widowControl w:val="false"/>
      <w:suppressAutoHyphens w:val="true"/>
      <w:bidi w:val="0"/>
      <w:spacing w:before="0" w:after="0"/>
      <w:ind w:firstLine="709"/>
      <w:jc w:val="both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rsid w:val="006b3cc7"/>
    <w:pPr>
      <w:widowControl w:val="false"/>
      <w:suppressAutoHyphens w:val="true"/>
      <w:bidi w:val="0"/>
      <w:spacing w:before="0" w:after="0"/>
      <w:ind w:firstLine="709"/>
      <w:jc w:val="both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Style16">
    <w:name w:val="Верхний и нижний колонтитулы"/>
    <w:basedOn w:val="Normal"/>
    <w:qFormat/>
    <w:pPr/>
    <w:rPr/>
  </w:style>
  <w:style w:type="paragraph" w:styleId="Style17">
    <w:name w:val="Header"/>
    <w:basedOn w:val="Normal"/>
    <w:link w:val="HeaderChar"/>
    <w:uiPriority w:val="99"/>
    <w:rsid w:val="009e577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8">
    <w:name w:val="Footer"/>
    <w:basedOn w:val="Normal"/>
    <w:link w:val="FooterChar"/>
    <w:uiPriority w:val="99"/>
    <w:rsid w:val="009e577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qFormat/>
    <w:rsid w:val="009d62e1"/>
    <w:pPr>
      <w:spacing w:lineRule="auto" w:line="240" w:beforeAutospacing="1" w:afterAutospacing="1"/>
    </w:pPr>
    <w:rPr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3b0c5c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Application>LibreOffice/6.4.7.2$Linux_X86_64 LibreOffice_project/40$Build-2</Application>
  <Pages>3</Pages>
  <Words>586</Words>
  <Characters>4729</Characters>
  <CharactersWithSpaces>5289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2021-05-19T11:26:00Z</dcterms:created>
  <dc:creator>Петрова Ирина Николаевна</dc:creator>
  <dc:description/>
  <dc:language>ru-RU</dc:language>
  <cp:lastModifiedBy/>
  <cp:lastPrinted>2020-05-20T07:17:00Z</cp:lastPrinted>
  <dcterms:modified xsi:type="dcterms:W3CDTF">2023-02-17T13:14:35Z</dcterms:modified>
  <cp:revision>7</cp:revision>
  <dc:subject/>
  <dc:title>Доклад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">
    <vt:lpwstr>об организации системы внутреннего обеспечения соответствия требованиям антимонопольного законодательства в Министерстве промышленности, экономического развития и торговли Республики Марий Эл в 2020 году</vt:lpwstr>
  </property>
  <property fmtid="{D5CDD505-2E9C-101B-9397-08002B2CF9AE}" pid="3" name="AppVersion">
    <vt:lpwstr>12.0000</vt:lpwstr>
  </property>
  <property fmtid="{D5CDD505-2E9C-101B-9397-08002B2CF9AE}" pid="4" name="ContentTypeId">
    <vt:lpwstr>0x01010008D42B6367CB6944863C50341E463EFA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_dlc_DocId">
    <vt:lpwstr>XXJ7TYMEEKJ2-1955821173-9</vt:lpwstr>
  </property>
  <property fmtid="{D5CDD505-2E9C-101B-9397-08002B2CF9AE}" pid="11" name="_dlc_DocIdItemGuid">
    <vt:lpwstr>4e1175ae-7d18-42ed-8a6b-2a3e8a89d03f</vt:lpwstr>
  </property>
  <property fmtid="{D5CDD505-2E9C-101B-9397-08002B2CF9AE}" pid="12" name="_dlc_DocIdUrl">
    <vt:lpwstr>https://vip.gov.mari.ru/mecon/_layouts/DocIdRedir.aspx?ID=XXJ7TYMEEKJ2-1955821173-9, XXJ7TYMEEKJ2-1955821173-9</vt:lpwstr>
  </property>
</Properties>
</file>