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45 очередная 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«21» декабря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285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FontStyle38"/>
          <w:b/>
          <w:b/>
        </w:rPr>
      </w:pPr>
      <w:r>
        <w:rPr>
          <w:b/>
        </w:rPr>
      </w:r>
    </w:p>
    <w:p>
      <w:pPr>
        <w:pStyle w:val="Style32"/>
        <w:jc w:val="center"/>
        <w:rPr/>
      </w:pPr>
      <w:r>
        <w:rPr>
          <w:rStyle w:val="FontStyle38"/>
          <w:rFonts w:eastAsia="Times New Roman"/>
          <w:b/>
        </w:rPr>
        <w:t xml:space="preserve">О приеме </w:t>
      </w:r>
      <w:r>
        <w:rPr>
          <w:rStyle w:val="FontStyle38"/>
          <w:b/>
        </w:rPr>
        <w:t>части полномочий по решению вопросов местного значения  Советского муниципального района Республики Марий Эл городскому поселению Советский Советского муниципального района</w:t>
      </w:r>
    </w:p>
    <w:p>
      <w:pPr>
        <w:pStyle w:val="Style32"/>
        <w:jc w:val="center"/>
        <w:rPr/>
      </w:pPr>
      <w:r>
        <w:rPr>
          <w:rStyle w:val="FontStyle38"/>
          <w:b/>
        </w:rPr>
        <w:t xml:space="preserve"> </w:t>
      </w:r>
      <w:r>
        <w:rPr>
          <w:rStyle w:val="FontStyle38"/>
          <w:b/>
        </w:rPr>
        <w:t xml:space="preserve">Республики Марий Эл на 2024 год и на плановый период </w:t>
      </w:r>
    </w:p>
    <w:p>
      <w:pPr>
        <w:pStyle w:val="Normal"/>
        <w:jc w:val="center"/>
        <w:rPr/>
      </w:pPr>
      <w:r>
        <w:rPr>
          <w:rStyle w:val="FontStyle38"/>
          <w:b/>
        </w:rPr>
        <w:t>2025 и 2026 годов</w:t>
      </w:r>
    </w:p>
    <w:p>
      <w:pPr>
        <w:pStyle w:val="Normal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ind w:firstLine="705"/>
        <w:jc w:val="both"/>
        <w:rPr/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 ч.4 ст.15 Федеральным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 октября 2003</w:t>
      </w:r>
      <w:r>
        <w:rPr>
          <w:rFonts w:eastAsia="Times New Roman"/>
          <w:sz w:val="28"/>
          <w:szCs w:val="28"/>
        </w:rPr>
        <w:t xml:space="preserve"> № </w:t>
      </w:r>
      <w:r>
        <w:rPr>
          <w:sz w:val="28"/>
          <w:szCs w:val="28"/>
        </w:rPr>
        <w:t>131-ФЗ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rFonts w:eastAsia="Times New Roman"/>
          <w:sz w:val="28"/>
          <w:szCs w:val="28"/>
        </w:rPr>
        <w:t xml:space="preserve"> Бюджетным кодексом Российской Федерации, руководствуясь </w:t>
      </w:r>
      <w:r>
        <w:rPr>
          <w:sz w:val="28"/>
          <w:szCs w:val="28"/>
        </w:rPr>
        <w:t>решением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Советского муниципального района от </w:t>
      </w:r>
      <w:r>
        <w:rPr>
          <w:sz w:val="28"/>
          <w:szCs w:val="28"/>
        </w:rPr>
        <w:t>20.12.2023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363</w:t>
      </w:r>
      <w:r>
        <w:rPr>
          <w:sz w:val="28"/>
          <w:szCs w:val="28"/>
        </w:rPr>
        <w:t xml:space="preserve"> «О передаче части полномочий по решению вопросов местного значения  Советского муниципального района Республики Марий Эл городскому поселению Советский Советского муниципального района Республики Марий Эл на 2024 год и на плановый период 2025 и 2026 годов»,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>
        <w:rPr>
          <w:rFonts w:eastAsia="Times New Roman"/>
          <w:sz w:val="28"/>
          <w:szCs w:val="28"/>
        </w:rPr>
        <w:t xml:space="preserve"> городского  поселения  Советский Советского муниципального района Республики Марий Эл  </w:t>
      </w:r>
      <w:r>
        <w:rPr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о: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rFonts w:eastAsia="Times New Roman"/>
          <w:sz w:val="28"/>
          <w:szCs w:val="28"/>
        </w:rPr>
        <w:t xml:space="preserve">Принять с 1 января 2024 года к исполнению  </w:t>
      </w:r>
      <w:r>
        <w:rPr>
          <w:sz w:val="28"/>
          <w:szCs w:val="28"/>
        </w:rPr>
        <w:t xml:space="preserve">осуществление части полномочий </w:t>
      </w:r>
      <w:r>
        <w:rPr>
          <w:rStyle w:val="FontStyle38"/>
          <w:rFonts w:eastAsia="Times New Roman"/>
          <w:sz w:val="28"/>
          <w:szCs w:val="28"/>
        </w:rPr>
        <w:t xml:space="preserve">Советского муниципального района Республики Марий Эл </w:t>
      </w:r>
      <w:r>
        <w:rPr>
          <w:rStyle w:val="FontStyle38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  <w:lang w:eastAsia="ru-RU"/>
        </w:rPr>
        <w:t>обеспечению первичных мер пожарной безопасности в границах муниципального района за границами городского и сельских населенных пунктов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bCs/>
          <w:sz w:val="28"/>
          <w:szCs w:val="28"/>
        </w:rPr>
        <w:t>Установить, что осуществление части полномочий по решению вопросов местного значения  Советского муниципального района Республики Марий Эл, указанного в пункте 1 настоящего решения, принимается в пределах передаваемых межбюджетных трансфертов из бюджета Советского муниципального района Республики Марий Эл в бюджет городского поселения Советский Советского муниципального района</w:t>
      </w:r>
      <w:r>
        <w:rPr>
          <w:rStyle w:val="FontStyle38"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Марий Эл в соответствии с заключенным соглашением.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осуществления, переданных в соответствии с указанным соглашением части полномочий, городское поселение Советский Советского муниципального района Республики Марий Эл имеют право дополнительно использовать собственные материальные ресурсы и финансовые средства.</w:t>
      </w:r>
    </w:p>
    <w:p>
      <w:pPr>
        <w:pStyle w:val="ConsPlusNormal"/>
        <w:numPr>
          <w:ilvl w:val="2"/>
          <w:numId w:val="3"/>
        </w:numPr>
        <w:ind w:left="0" w:firstLine="705"/>
        <w:jc w:val="both"/>
        <w:rPr/>
      </w:pPr>
      <w:r>
        <w:rPr>
          <w:rFonts w:cs="Times New Roman"/>
          <w:sz w:val="28"/>
          <w:szCs w:val="28"/>
        </w:rPr>
        <w:t xml:space="preserve">Поручить главе Советской городской администрации Советского муниципального района Республики Марий Эл </w:t>
      </w:r>
      <w:r>
        <w:rPr>
          <w:rFonts w:cs="Times New Roman"/>
          <w:sz w:val="28"/>
          <w:szCs w:val="28"/>
        </w:rPr>
        <w:t>Бездушнову А.Е.</w:t>
      </w:r>
      <w:r>
        <w:rPr>
          <w:rFonts w:cs="Times New Roman"/>
          <w:sz w:val="28"/>
          <w:szCs w:val="28"/>
        </w:rPr>
        <w:t xml:space="preserve">  подписать соглашение о приеме части полномочий по решению вопросов местного значения Советского муниципального района Республики Марий Эл для исполнения с 1 января 2024 года городским поселением Советский Советского муниципального района Республики Марий Эл.</w:t>
      </w:r>
    </w:p>
    <w:p>
      <w:pPr>
        <w:pStyle w:val="Normal"/>
        <w:ind w:firstLine="540"/>
        <w:jc w:val="both"/>
        <w:rPr>
          <w:sz w:val="28"/>
          <w:szCs w:val="28"/>
          <w:lang w:eastAsia="zxx" w:bidi="zxx"/>
        </w:rPr>
      </w:pPr>
      <w:r>
        <w:rPr>
          <w:sz w:val="28"/>
          <w:szCs w:val="28"/>
          <w:lang w:eastAsia="zxx" w:bidi="zxx"/>
        </w:rPr>
      </w:r>
    </w:p>
    <w:p>
      <w:pPr>
        <w:pStyle w:val="Normal"/>
        <w:ind w:firstLine="540"/>
        <w:jc w:val="both"/>
        <w:rPr>
          <w:sz w:val="28"/>
          <w:szCs w:val="28"/>
          <w:lang w:eastAsia="zxx" w:bidi="zxx"/>
        </w:rPr>
      </w:pPr>
      <w:r>
        <w:rPr>
          <w:sz w:val="28"/>
          <w:szCs w:val="28"/>
          <w:lang w:eastAsia="zxx" w:bidi="zxx"/>
        </w:rPr>
      </w:r>
    </w:p>
    <w:p>
      <w:pPr>
        <w:pStyle w:val="Normal"/>
        <w:ind w:firstLine="540"/>
        <w:jc w:val="both"/>
        <w:rPr>
          <w:sz w:val="28"/>
          <w:szCs w:val="28"/>
          <w:lang w:eastAsia="zxx" w:bidi="zxx"/>
        </w:rPr>
      </w:pPr>
      <w:r>
        <w:rPr>
          <w:sz w:val="28"/>
          <w:szCs w:val="28"/>
          <w:lang w:eastAsia="zxx" w:bidi="zxx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Глава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                                      Павлова Н.И.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ab/>
        <w:tab/>
        <w:tab/>
      </w:r>
      <w:r>
        <w:rPr>
          <w:rFonts w:eastAsia="Times New Roman"/>
          <w:sz w:val="28"/>
          <w:szCs w:val="28"/>
        </w:rPr>
        <w:tab/>
        <w:tab/>
        <w:tab/>
        <w:tab/>
        <w:tab/>
        <w:tab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25" w:hanging="720"/>
      </w:pPr>
      <w:rPr>
        <w:sz w:val="28"/>
        <w:szCs w:val="28"/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b/>
      <w:sz w:val="26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26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FontStyle37">
    <w:name w:val="Font Style37"/>
    <w:qFormat/>
    <w:rPr>
      <w:rFonts w:ascii="Times New Roman" w:hAnsi="Times New Roman" w:cs="Times New Roman"/>
      <w:b/>
      <w:bCs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28">
    <w:name w:val="ListLabel 28"/>
    <w:qFormat/>
    <w:rPr>
      <w:rFonts w:cs="Times New Roman"/>
      <w:b/>
      <w:sz w:val="28"/>
      <w:szCs w:val="28"/>
    </w:rPr>
  </w:style>
  <w:style w:type="character" w:styleId="ListLabel29">
    <w:name w:val="ListLabel 29"/>
    <w:qFormat/>
    <w:rPr>
      <w:rFonts w:eastAsia="Times New Roman"/>
      <w:sz w:val="28"/>
      <w:szCs w:val="28"/>
    </w:rPr>
  </w:style>
  <w:style w:type="character" w:styleId="ListLabel30">
    <w:name w:val="ListLabel 30"/>
    <w:qFormat/>
    <w:rPr>
      <w:sz w:val="28"/>
      <w:szCs w:val="28"/>
      <w:lang w:val="ru-RU"/>
    </w:rPr>
  </w:style>
  <w:style w:type="character" w:styleId="ListLabel31">
    <w:name w:val="ListLabel 31"/>
    <w:qFormat/>
    <w:rPr>
      <w:sz w:val="26"/>
      <w:szCs w:val="26"/>
    </w:rPr>
  </w:style>
  <w:style w:type="character" w:styleId="ListLabel32">
    <w:name w:val="ListLabel 32"/>
    <w:qFormat/>
    <w:rPr>
      <w:rFonts w:eastAsia="Times New Roman"/>
      <w:sz w:val="28"/>
      <w:szCs w:val="28"/>
    </w:rPr>
  </w:style>
  <w:style w:type="character" w:styleId="ListLabel33">
    <w:name w:val="ListLabel 33"/>
    <w:qFormat/>
    <w:rPr>
      <w:sz w:val="28"/>
      <w:szCs w:val="28"/>
      <w:lang w:val="ru-RU"/>
    </w:rPr>
  </w:style>
  <w:style w:type="character" w:styleId="ListLabel34">
    <w:name w:val="ListLabel 34"/>
    <w:qFormat/>
    <w:rPr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Style32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1"/>
      <w:lang w:val="ru-RU" w:eastAsia="zh-CN" w:bidi="hi-IN"/>
    </w:rPr>
  </w:style>
  <w:style w:type="paragraph" w:styleId="Style251">
    <w:name w:val="Style25"/>
    <w:basedOn w:val="Normal"/>
    <w:qFormat/>
    <w:pPr>
      <w:spacing w:lineRule="exact" w:line="322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LibreOffice/6.1.2.1$Windows_x86 LibreOffice_project/65905a128db06ba48db947242809d14d3f9a93fe</Application>
  <Pages>2</Pages>
  <Words>342</Words>
  <Characters>2342</Characters>
  <CharactersWithSpaces>2845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2023-12-22T08:42:37Z</cp:lastPrinted>
  <dcterms:modified xsi:type="dcterms:W3CDTF">2023-12-22T08:44:28Z</dcterms:modified>
  <cp:revision>13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