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0A" w:rsidRPr="00541EC2" w:rsidRDefault="005F15B6" w:rsidP="0011377D">
      <w:pPr>
        <w:spacing w:before="0" w:beforeAutospacing="0" w:after="0" w:afterAutospacing="0"/>
        <w:ind w:firstLine="709"/>
        <w:jc w:val="center"/>
        <w:rPr>
          <w:rFonts w:hAnsi="Times New Roman" w:cs="Times New Roman"/>
          <w:color w:val="000000"/>
          <w:sz w:val="24"/>
          <w:szCs w:val="24"/>
          <w:lang w:val="ru-RU"/>
        </w:rPr>
      </w:pPr>
      <w:r w:rsidRPr="00541EC2">
        <w:rPr>
          <w:rFonts w:hAnsi="Times New Roman" w:cs="Times New Roman"/>
          <w:b/>
          <w:bCs/>
          <w:color w:val="000000"/>
          <w:sz w:val="24"/>
          <w:szCs w:val="24"/>
          <w:lang w:val="ru-RU"/>
        </w:rPr>
        <w:t>Основные положения учетной политики (выдержки)</w:t>
      </w:r>
    </w:p>
    <w:p w:rsidR="00541EC2" w:rsidRDefault="00541EC2" w:rsidP="0011377D">
      <w:pPr>
        <w:spacing w:before="0" w:beforeAutospacing="0" w:after="0" w:afterAutospacing="0"/>
        <w:ind w:firstLine="709"/>
        <w:jc w:val="center"/>
        <w:rPr>
          <w:rFonts w:hAnsi="Times New Roman" w:cs="Times New Roman"/>
          <w:b/>
          <w:color w:val="000000"/>
          <w:sz w:val="24"/>
          <w:szCs w:val="24"/>
          <w:lang w:val="ru-RU"/>
        </w:rPr>
      </w:pPr>
      <w:r w:rsidRPr="00541EC2">
        <w:rPr>
          <w:rFonts w:hAnsi="Times New Roman" w:cs="Times New Roman"/>
          <w:b/>
          <w:color w:val="000000"/>
          <w:sz w:val="24"/>
          <w:szCs w:val="24"/>
          <w:lang w:val="ru-RU"/>
        </w:rPr>
        <w:t>ГБУ РМЭ «Красногорский дом-интернат»</w:t>
      </w:r>
    </w:p>
    <w:p w:rsidR="0011377D" w:rsidRPr="00541EC2" w:rsidRDefault="0011377D" w:rsidP="0011377D">
      <w:pPr>
        <w:spacing w:before="0" w:beforeAutospacing="0" w:after="0" w:afterAutospacing="0"/>
        <w:ind w:firstLine="709"/>
        <w:jc w:val="center"/>
        <w:rPr>
          <w:rFonts w:hAnsi="Times New Roman" w:cs="Times New Roman"/>
          <w:b/>
          <w:color w:val="000000"/>
          <w:sz w:val="24"/>
          <w:szCs w:val="24"/>
          <w:lang w:val="ru-RU"/>
        </w:rPr>
      </w:pP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 xml:space="preserve">Учетная политика </w:t>
      </w:r>
      <w:r w:rsidR="00541EC2" w:rsidRPr="00EB3792">
        <w:rPr>
          <w:rFonts w:hAnsi="Times New Roman" w:cs="Times New Roman"/>
          <w:color w:val="000000"/>
          <w:sz w:val="24"/>
          <w:szCs w:val="24"/>
          <w:lang w:val="ru-RU"/>
        </w:rPr>
        <w:t>ГБУ</w:t>
      </w:r>
      <w:r w:rsidR="00541EC2">
        <w:rPr>
          <w:rFonts w:hAnsi="Times New Roman" w:cs="Times New Roman"/>
          <w:color w:val="000000"/>
          <w:sz w:val="24"/>
          <w:szCs w:val="24"/>
          <w:lang w:val="ru-RU"/>
        </w:rPr>
        <w:t xml:space="preserve"> РМЭ</w:t>
      </w:r>
      <w:r w:rsidR="00541EC2" w:rsidRPr="00EB3792">
        <w:rPr>
          <w:rFonts w:hAnsi="Times New Roman" w:cs="Times New Roman"/>
          <w:color w:val="000000"/>
          <w:sz w:val="24"/>
          <w:szCs w:val="24"/>
          <w:lang w:val="ru-RU"/>
        </w:rPr>
        <w:t xml:space="preserve"> «</w:t>
      </w:r>
      <w:r w:rsidR="00541EC2">
        <w:rPr>
          <w:rFonts w:hAnsi="Times New Roman" w:cs="Times New Roman"/>
          <w:color w:val="000000"/>
          <w:sz w:val="24"/>
          <w:szCs w:val="24"/>
          <w:lang w:val="ru-RU"/>
        </w:rPr>
        <w:t>Красногорский дом-интернат</w:t>
      </w:r>
      <w:r w:rsidR="00541EC2" w:rsidRPr="00EB3792">
        <w:rPr>
          <w:rFonts w:hAnsi="Times New Roman" w:cs="Times New Roman"/>
          <w:color w:val="000000"/>
          <w:sz w:val="24"/>
          <w:szCs w:val="24"/>
          <w:lang w:val="ru-RU"/>
        </w:rPr>
        <w:t xml:space="preserve">» </w:t>
      </w:r>
      <w:r w:rsidRPr="00541EC2">
        <w:rPr>
          <w:rFonts w:hAnsi="Times New Roman" w:cs="Times New Roman"/>
          <w:color w:val="000000"/>
          <w:sz w:val="24"/>
          <w:szCs w:val="24"/>
          <w:lang w:val="ru-RU"/>
        </w:rPr>
        <w:t xml:space="preserve"> утверждена приказом от 24.12.2020 № 156.</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D3090A" w:rsidRPr="00541EC2" w:rsidRDefault="00541EC2"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w:t>
      </w:r>
      <w:r w:rsidR="005F15B6" w:rsidRPr="00541EC2">
        <w:rPr>
          <w:rFonts w:hAnsi="Times New Roman" w:cs="Times New Roman"/>
          <w:color w:val="000000"/>
          <w:sz w:val="24"/>
          <w:szCs w:val="24"/>
          <w:lang w:val="ru-RU"/>
        </w:rPr>
        <w:t>. Бухгалтерский учет ведется в электронном виде с применением программных продуктов «Бухгалтерия», «Зарплата».</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3</w:t>
      </w:r>
      <w:r w:rsidR="005F15B6" w:rsidRPr="00541EC2">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3090A" w:rsidRPr="00541EC2" w:rsidRDefault="005F15B6" w:rsidP="0011377D">
      <w:pPr>
        <w:numPr>
          <w:ilvl w:val="0"/>
          <w:numId w:val="1"/>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lang w:val="ru-RU"/>
        </w:rPr>
      </w:pPr>
      <w:r w:rsidRPr="00541EC2">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D3090A" w:rsidRDefault="005F15B6" w:rsidP="0011377D">
      <w:pPr>
        <w:numPr>
          <w:ilvl w:val="0"/>
          <w:numId w:val="1"/>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D3090A" w:rsidRDefault="005F15B6" w:rsidP="0011377D">
      <w:pPr>
        <w:numPr>
          <w:ilvl w:val="0"/>
          <w:numId w:val="1"/>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sidRPr="00541EC2">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D3090A" w:rsidRPr="005D69C8" w:rsidRDefault="005F15B6" w:rsidP="0011377D">
      <w:pPr>
        <w:numPr>
          <w:ilvl w:val="0"/>
          <w:numId w:val="1"/>
        </w:numPr>
        <w:tabs>
          <w:tab w:val="clear" w:pos="720"/>
          <w:tab w:val="num" w:pos="567"/>
          <w:tab w:val="left" w:pos="993"/>
        </w:tabs>
        <w:spacing w:before="0" w:beforeAutospacing="0" w:after="0" w:afterAutospacing="0"/>
        <w:ind w:left="0" w:right="180" w:firstLine="709"/>
        <w:contextualSpacing/>
        <w:jc w:val="both"/>
        <w:rPr>
          <w:rFonts w:hAnsi="Times New Roman" w:cs="Times New Roman"/>
          <w:sz w:val="24"/>
          <w:szCs w:val="24"/>
          <w:lang w:val="ru-RU"/>
        </w:rPr>
      </w:pPr>
      <w:r w:rsidRPr="005D69C8">
        <w:rPr>
          <w:rFonts w:hAnsi="Times New Roman" w:cs="Times New Roman"/>
          <w:sz w:val="24"/>
          <w:szCs w:val="24"/>
          <w:lang w:val="ru-RU"/>
        </w:rPr>
        <w:t>передача отчетности в отделение Пенсионного фонда;</w:t>
      </w:r>
    </w:p>
    <w:p w:rsidR="00541EC2" w:rsidRPr="005D69C8" w:rsidRDefault="00541EC2" w:rsidP="0011377D">
      <w:pPr>
        <w:numPr>
          <w:ilvl w:val="0"/>
          <w:numId w:val="1"/>
        </w:numPr>
        <w:tabs>
          <w:tab w:val="clear" w:pos="720"/>
          <w:tab w:val="num" w:pos="567"/>
          <w:tab w:val="left" w:pos="993"/>
        </w:tabs>
        <w:spacing w:before="0" w:beforeAutospacing="0" w:after="0" w:afterAutospacing="0"/>
        <w:ind w:left="0" w:right="180" w:firstLine="709"/>
        <w:contextualSpacing/>
        <w:jc w:val="both"/>
        <w:rPr>
          <w:rFonts w:hAnsi="Times New Roman" w:cs="Times New Roman"/>
          <w:sz w:val="24"/>
          <w:szCs w:val="24"/>
          <w:lang w:val="ru-RU"/>
        </w:rPr>
      </w:pPr>
      <w:r w:rsidRPr="005D69C8">
        <w:rPr>
          <w:rFonts w:hAnsi="Times New Roman" w:cs="Times New Roman"/>
          <w:sz w:val="24"/>
          <w:szCs w:val="24"/>
          <w:lang w:val="ru-RU"/>
        </w:rPr>
        <w:t>передача отчетности и сведени</w:t>
      </w:r>
      <w:r w:rsidR="00D57257">
        <w:rPr>
          <w:rFonts w:hAnsi="Times New Roman" w:cs="Times New Roman"/>
          <w:sz w:val="24"/>
          <w:szCs w:val="24"/>
          <w:lang w:val="ru-RU"/>
        </w:rPr>
        <w:t>й</w:t>
      </w:r>
      <w:r w:rsidRPr="005D69C8">
        <w:rPr>
          <w:rFonts w:hAnsi="Times New Roman" w:cs="Times New Roman"/>
          <w:sz w:val="24"/>
          <w:szCs w:val="24"/>
          <w:lang w:val="ru-RU"/>
        </w:rPr>
        <w:t xml:space="preserve"> </w:t>
      </w:r>
      <w:r w:rsidR="005D69C8" w:rsidRPr="005D69C8">
        <w:rPr>
          <w:rFonts w:hAnsi="Times New Roman" w:cs="Times New Roman"/>
          <w:sz w:val="24"/>
          <w:szCs w:val="24"/>
          <w:lang w:val="ru-RU"/>
        </w:rPr>
        <w:t xml:space="preserve">о застрахованном лице </w:t>
      </w:r>
      <w:r w:rsidRPr="005D69C8">
        <w:rPr>
          <w:rFonts w:hAnsi="Times New Roman" w:cs="Times New Roman"/>
          <w:sz w:val="24"/>
          <w:szCs w:val="24"/>
          <w:lang w:val="ru-RU"/>
        </w:rPr>
        <w:t>в ФСС;</w:t>
      </w:r>
    </w:p>
    <w:p w:rsidR="0011377D" w:rsidRPr="005D69C8" w:rsidRDefault="0011377D" w:rsidP="0011377D">
      <w:pPr>
        <w:numPr>
          <w:ilvl w:val="0"/>
          <w:numId w:val="1"/>
        </w:numPr>
        <w:tabs>
          <w:tab w:val="clear" w:pos="720"/>
          <w:tab w:val="num" w:pos="567"/>
          <w:tab w:val="left" w:pos="993"/>
        </w:tabs>
        <w:spacing w:before="0" w:beforeAutospacing="0" w:after="0" w:afterAutospacing="0"/>
        <w:ind w:left="0" w:right="180" w:firstLine="709"/>
        <w:contextualSpacing/>
        <w:jc w:val="both"/>
        <w:rPr>
          <w:rFonts w:hAnsi="Times New Roman" w:cs="Times New Roman"/>
          <w:sz w:val="24"/>
          <w:szCs w:val="24"/>
          <w:lang w:val="ru-RU"/>
        </w:rPr>
      </w:pPr>
      <w:r w:rsidRPr="005D69C8">
        <w:rPr>
          <w:rFonts w:hAnsi="Times New Roman" w:cs="Times New Roman"/>
          <w:sz w:val="24"/>
          <w:szCs w:val="24"/>
          <w:lang w:val="ru-RU"/>
        </w:rPr>
        <w:t>передача отчетности в Росстат;</w:t>
      </w:r>
    </w:p>
    <w:p w:rsidR="00D3090A" w:rsidRPr="005D69C8" w:rsidRDefault="005F15B6" w:rsidP="0011377D">
      <w:pPr>
        <w:numPr>
          <w:ilvl w:val="0"/>
          <w:numId w:val="1"/>
        </w:numPr>
        <w:tabs>
          <w:tab w:val="clear" w:pos="720"/>
          <w:tab w:val="num" w:pos="567"/>
          <w:tab w:val="left" w:pos="993"/>
        </w:tabs>
        <w:spacing w:before="0" w:beforeAutospacing="0" w:after="0" w:afterAutospacing="0"/>
        <w:ind w:left="0" w:right="180" w:firstLine="709"/>
        <w:jc w:val="both"/>
        <w:rPr>
          <w:rFonts w:hAnsi="Times New Roman" w:cs="Times New Roman"/>
          <w:sz w:val="24"/>
          <w:szCs w:val="24"/>
          <w:lang w:val="ru-RU"/>
        </w:rPr>
      </w:pPr>
      <w:r w:rsidRPr="005D69C8">
        <w:rPr>
          <w:rFonts w:hAnsi="Times New Roman" w:cs="Times New Roman"/>
          <w:sz w:val="24"/>
          <w:szCs w:val="24"/>
          <w:lang w:val="ru-RU"/>
        </w:rPr>
        <w:t xml:space="preserve">размещение информации о деятельности учреждения на официальном сайте </w:t>
      </w:r>
      <w:r w:rsidRPr="005D69C8">
        <w:rPr>
          <w:rFonts w:hAnsi="Times New Roman" w:cs="Times New Roman"/>
          <w:sz w:val="24"/>
          <w:szCs w:val="24"/>
        </w:rPr>
        <w:t>bus</w:t>
      </w:r>
      <w:r w:rsidRPr="005D69C8">
        <w:rPr>
          <w:rFonts w:hAnsi="Times New Roman" w:cs="Times New Roman"/>
          <w:sz w:val="24"/>
          <w:szCs w:val="24"/>
          <w:lang w:val="ru-RU"/>
        </w:rPr>
        <w:t>.</w:t>
      </w:r>
      <w:proofErr w:type="spellStart"/>
      <w:r w:rsidRPr="005D69C8">
        <w:rPr>
          <w:rFonts w:hAnsi="Times New Roman" w:cs="Times New Roman"/>
          <w:sz w:val="24"/>
          <w:szCs w:val="24"/>
        </w:rPr>
        <w:t>gov</w:t>
      </w:r>
      <w:proofErr w:type="spellEnd"/>
      <w:r w:rsidRPr="005D69C8">
        <w:rPr>
          <w:rFonts w:hAnsi="Times New Roman" w:cs="Times New Roman"/>
          <w:sz w:val="24"/>
          <w:szCs w:val="24"/>
          <w:lang w:val="ru-RU"/>
        </w:rPr>
        <w:t>.</w:t>
      </w:r>
      <w:proofErr w:type="spellStart"/>
      <w:r w:rsidRPr="005D69C8">
        <w:rPr>
          <w:rFonts w:hAnsi="Times New Roman" w:cs="Times New Roman"/>
          <w:sz w:val="24"/>
          <w:szCs w:val="24"/>
        </w:rPr>
        <w:t>ru</w:t>
      </w:r>
      <w:proofErr w:type="spellEnd"/>
      <w:r w:rsidRPr="005D69C8">
        <w:rPr>
          <w:rFonts w:hAnsi="Times New Roman" w:cs="Times New Roman"/>
          <w:sz w:val="24"/>
          <w:szCs w:val="24"/>
          <w:lang w:val="ru-RU"/>
        </w:rPr>
        <w:t>.</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4</w:t>
      </w:r>
      <w:r w:rsidR="005F15B6" w:rsidRPr="00541EC2">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в соответствии с приказом Минфина</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5</w:t>
      </w:r>
      <w:r w:rsidR="005F15B6" w:rsidRPr="00541EC2">
        <w:rPr>
          <w:rFonts w:hAnsi="Times New Roman" w:cs="Times New Roman"/>
          <w:color w:val="000000"/>
          <w:sz w:val="24"/>
          <w:szCs w:val="24"/>
          <w:lang w:val="ru-RU"/>
        </w:rPr>
        <w:t>.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6</w:t>
      </w:r>
      <w:r w:rsidR="005F15B6" w:rsidRPr="00541EC2">
        <w:rPr>
          <w:rFonts w:hAnsi="Times New Roman" w:cs="Times New Roman"/>
          <w:color w:val="000000"/>
          <w:sz w:val="24"/>
          <w:szCs w:val="24"/>
          <w:lang w:val="ru-RU"/>
        </w:rPr>
        <w:t>. Инвентаризация активов и обязатель</w:t>
      </w:r>
      <w:proofErr w:type="gramStart"/>
      <w:r w:rsidR="005F15B6" w:rsidRPr="00541EC2">
        <w:rPr>
          <w:rFonts w:hAnsi="Times New Roman" w:cs="Times New Roman"/>
          <w:color w:val="000000"/>
          <w:sz w:val="24"/>
          <w:szCs w:val="24"/>
          <w:lang w:val="ru-RU"/>
        </w:rPr>
        <w:t>ств пр</w:t>
      </w:r>
      <w:proofErr w:type="gramEnd"/>
      <w:r w:rsidR="005F15B6" w:rsidRPr="00541EC2">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7</w:t>
      </w:r>
      <w:r w:rsidR="005F15B6" w:rsidRPr="00541EC2">
        <w:rPr>
          <w:rFonts w:hAnsi="Times New Roman" w:cs="Times New Roman"/>
          <w:color w:val="000000"/>
          <w:sz w:val="24"/>
          <w:szCs w:val="24"/>
          <w:lang w:val="ru-RU"/>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8</w:t>
      </w:r>
      <w:r w:rsidR="005F15B6" w:rsidRPr="00541EC2">
        <w:rPr>
          <w:rFonts w:hAnsi="Times New Roman" w:cs="Times New Roman"/>
          <w:color w:val="000000"/>
          <w:sz w:val="24"/>
          <w:szCs w:val="24"/>
          <w:lang w:val="ru-RU"/>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9</w:t>
      </w:r>
      <w:r w:rsidR="005F15B6" w:rsidRPr="00541EC2">
        <w:rPr>
          <w:rFonts w:hAnsi="Times New Roman" w:cs="Times New Roman"/>
          <w:color w:val="000000"/>
          <w:sz w:val="24"/>
          <w:szCs w:val="24"/>
          <w:lang w:val="ru-RU"/>
        </w:rPr>
        <w:t>. Учреждение учитывает в составе основных средств материальные объекты имущества</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независимо от их стоимости</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 xml:space="preserve">со сроком полезного использования более 12 месяцев, а </w:t>
      </w:r>
      <w:proofErr w:type="gramStart"/>
      <w:r w:rsidR="005F15B6" w:rsidRPr="00541EC2">
        <w:rPr>
          <w:rFonts w:hAnsi="Times New Roman" w:cs="Times New Roman"/>
          <w:color w:val="000000"/>
          <w:sz w:val="24"/>
          <w:szCs w:val="24"/>
          <w:lang w:val="ru-RU"/>
        </w:rPr>
        <w:t>также бесконтактные</w:t>
      </w:r>
      <w:proofErr w:type="gramEnd"/>
      <w:r w:rsidR="005F15B6" w:rsidRPr="00541EC2">
        <w:rPr>
          <w:rFonts w:hAnsi="Times New Roman" w:cs="Times New Roman"/>
          <w:color w:val="000000"/>
          <w:sz w:val="24"/>
          <w:szCs w:val="24"/>
          <w:lang w:val="ru-RU"/>
        </w:rPr>
        <w:t xml:space="preserve"> термометры, </w:t>
      </w:r>
      <w:proofErr w:type="spellStart"/>
      <w:r w:rsidR="005F15B6" w:rsidRPr="00541EC2">
        <w:rPr>
          <w:rFonts w:hAnsi="Times New Roman" w:cs="Times New Roman"/>
          <w:color w:val="000000"/>
          <w:sz w:val="24"/>
          <w:szCs w:val="24"/>
          <w:lang w:val="ru-RU"/>
        </w:rPr>
        <w:t>диспенсеры</w:t>
      </w:r>
      <w:proofErr w:type="spellEnd"/>
      <w:r w:rsidR="005F15B6" w:rsidRPr="00541EC2">
        <w:rPr>
          <w:rFonts w:hAnsi="Times New Roman" w:cs="Times New Roman"/>
          <w:color w:val="000000"/>
          <w:sz w:val="24"/>
          <w:szCs w:val="24"/>
          <w:lang w:val="ru-RU"/>
        </w:rPr>
        <w:t xml:space="preserve">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10</w:t>
      </w:r>
      <w:r w:rsidR="005F15B6" w:rsidRPr="00541EC2">
        <w:rPr>
          <w:rFonts w:hAnsi="Times New Roman" w:cs="Times New Roman"/>
          <w:color w:val="000000"/>
          <w:sz w:val="24"/>
          <w:szCs w:val="24"/>
          <w:lang w:val="ru-RU"/>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3090A" w:rsidRDefault="005F15B6" w:rsidP="0011377D">
      <w:pPr>
        <w:numPr>
          <w:ilvl w:val="0"/>
          <w:numId w:val="2"/>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D3090A" w:rsidRPr="00541EC2" w:rsidRDefault="005F15B6" w:rsidP="0011377D">
      <w:pPr>
        <w:numPr>
          <w:ilvl w:val="0"/>
          <w:numId w:val="2"/>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lang w:val="ru-RU"/>
        </w:rPr>
      </w:pPr>
      <w:r w:rsidRPr="00541EC2">
        <w:rPr>
          <w:rFonts w:hAnsi="Times New Roman" w:cs="Times New Roman"/>
          <w:color w:val="000000"/>
          <w:sz w:val="24"/>
          <w:szCs w:val="24"/>
          <w:lang w:val="ru-RU"/>
        </w:rPr>
        <w:t>мебель для обстановки одного помещения: столы, стулья, стеллажи, шкафы, полки;</w:t>
      </w:r>
    </w:p>
    <w:p w:rsidR="00D3090A" w:rsidRPr="00541EC2" w:rsidRDefault="005F15B6" w:rsidP="0011377D">
      <w:pPr>
        <w:numPr>
          <w:ilvl w:val="0"/>
          <w:numId w:val="2"/>
        </w:numPr>
        <w:tabs>
          <w:tab w:val="clear" w:pos="720"/>
          <w:tab w:val="num" w:pos="567"/>
          <w:tab w:val="left" w:pos="993"/>
        </w:tabs>
        <w:spacing w:before="0" w:beforeAutospacing="0" w:after="0" w:afterAutospacing="0"/>
        <w:ind w:left="0" w:right="180" w:firstLine="709"/>
        <w:jc w:val="both"/>
        <w:rPr>
          <w:rFonts w:hAnsi="Times New Roman" w:cs="Times New Roman"/>
          <w:color w:val="000000"/>
          <w:sz w:val="24"/>
          <w:szCs w:val="24"/>
          <w:lang w:val="ru-RU"/>
        </w:rPr>
      </w:pPr>
      <w:proofErr w:type="gramStart"/>
      <w:r w:rsidRPr="00541EC2">
        <w:rPr>
          <w:rFonts w:hAnsi="Times New Roman" w:cs="Times New Roman"/>
          <w:color w:val="000000"/>
          <w:sz w:val="24"/>
          <w:szCs w:val="24"/>
          <w:lang w:val="ru-RU"/>
        </w:rPr>
        <w:lastRenderedPageBreak/>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541EC2">
        <w:rPr>
          <w:rFonts w:hAnsi="Times New Roman" w:cs="Times New Roman"/>
          <w:color w:val="000000"/>
          <w:sz w:val="24"/>
          <w:szCs w:val="24"/>
          <w:lang w:val="ru-RU"/>
        </w:rPr>
        <w:t>веб-камеры</w:t>
      </w:r>
      <w:proofErr w:type="spellEnd"/>
      <w:r w:rsidRPr="00541EC2">
        <w:rPr>
          <w:rFonts w:hAnsi="Times New Roman" w:cs="Times New Roman"/>
          <w:color w:val="000000"/>
          <w:sz w:val="24"/>
          <w:szCs w:val="24"/>
          <w:lang w:val="ru-RU"/>
        </w:rPr>
        <w:t xml:space="preserve">, устройства захвата видео, внешние </w:t>
      </w:r>
      <w:proofErr w:type="spellStart"/>
      <w:r w:rsidRPr="00541EC2">
        <w:rPr>
          <w:rFonts w:hAnsi="Times New Roman" w:cs="Times New Roman"/>
          <w:color w:val="000000"/>
          <w:sz w:val="24"/>
          <w:szCs w:val="24"/>
          <w:lang w:val="ru-RU"/>
        </w:rPr>
        <w:t>ТВ-тюнеры</w:t>
      </w:r>
      <w:proofErr w:type="spellEnd"/>
      <w:r w:rsidRPr="00541EC2">
        <w:rPr>
          <w:rFonts w:hAnsi="Times New Roman" w:cs="Times New Roman"/>
          <w:color w:val="000000"/>
          <w:sz w:val="24"/>
          <w:szCs w:val="24"/>
          <w:lang w:val="ru-RU"/>
        </w:rPr>
        <w:t>, внешние накопители на жестких дисках.</w:t>
      </w:r>
      <w:proofErr w:type="gramEnd"/>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11</w:t>
      </w:r>
      <w:r w:rsidR="005F15B6" w:rsidRPr="00541EC2">
        <w:rPr>
          <w:rFonts w:hAnsi="Times New Roman" w:cs="Times New Roman"/>
          <w:color w:val="000000"/>
          <w:sz w:val="24"/>
          <w:szCs w:val="24"/>
          <w:lang w:val="ru-RU"/>
        </w:rPr>
        <w:t>.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D3090A" w:rsidRDefault="00FC2586" w:rsidP="0011377D">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lang w:val="ru-RU"/>
        </w:rPr>
        <w:t>12</w:t>
      </w:r>
      <w:r w:rsidR="005F15B6" w:rsidRPr="00541EC2">
        <w:rPr>
          <w:rFonts w:hAnsi="Times New Roman" w:cs="Times New Roman"/>
          <w:color w:val="000000"/>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5F15B6" w:rsidRPr="00541EC2">
        <w:rPr>
          <w:rFonts w:hAnsi="Times New Roman" w:cs="Times New Roman"/>
          <w:color w:val="000000"/>
          <w:sz w:val="24"/>
          <w:szCs w:val="24"/>
          <w:lang w:val="ru-RU"/>
        </w:rPr>
        <w:t>выбываемых</w:t>
      </w:r>
      <w:proofErr w:type="spellEnd"/>
      <w:r w:rsidR="005F15B6" w:rsidRPr="00541EC2">
        <w:rPr>
          <w:rFonts w:hAnsi="Times New Roman" w:cs="Times New Roman"/>
          <w:color w:val="000000"/>
          <w:sz w:val="24"/>
          <w:szCs w:val="24"/>
          <w:lang w:val="ru-RU"/>
        </w:rPr>
        <w:t xml:space="preserve">) составных частей. </w:t>
      </w:r>
      <w:proofErr w:type="spellStart"/>
      <w:r w:rsidR="005F15B6">
        <w:rPr>
          <w:rFonts w:hAnsi="Times New Roman" w:cs="Times New Roman"/>
          <w:color w:val="000000"/>
          <w:sz w:val="24"/>
          <w:szCs w:val="24"/>
        </w:rPr>
        <w:t>Данное</w:t>
      </w:r>
      <w:proofErr w:type="spellEnd"/>
      <w:r w:rsidR="005F15B6">
        <w:rPr>
          <w:rFonts w:hAnsi="Times New Roman" w:cs="Times New Roman"/>
          <w:color w:val="000000"/>
          <w:sz w:val="24"/>
          <w:szCs w:val="24"/>
        </w:rPr>
        <w:t xml:space="preserve"> </w:t>
      </w:r>
      <w:proofErr w:type="spellStart"/>
      <w:r w:rsidR="005F15B6">
        <w:rPr>
          <w:rFonts w:hAnsi="Times New Roman" w:cs="Times New Roman"/>
          <w:color w:val="000000"/>
          <w:sz w:val="24"/>
          <w:szCs w:val="24"/>
        </w:rPr>
        <w:t>правило</w:t>
      </w:r>
      <w:proofErr w:type="spellEnd"/>
      <w:r w:rsidR="005F15B6">
        <w:rPr>
          <w:rFonts w:hAnsi="Times New Roman" w:cs="Times New Roman"/>
          <w:color w:val="000000"/>
          <w:sz w:val="24"/>
          <w:szCs w:val="24"/>
        </w:rPr>
        <w:t xml:space="preserve"> </w:t>
      </w:r>
      <w:proofErr w:type="spellStart"/>
      <w:r w:rsidR="005F15B6">
        <w:rPr>
          <w:rFonts w:hAnsi="Times New Roman" w:cs="Times New Roman"/>
          <w:color w:val="000000"/>
          <w:sz w:val="24"/>
          <w:szCs w:val="24"/>
        </w:rPr>
        <w:t>применяется</w:t>
      </w:r>
      <w:proofErr w:type="spellEnd"/>
      <w:r w:rsidR="005F15B6">
        <w:rPr>
          <w:rFonts w:hAnsi="Times New Roman" w:cs="Times New Roman"/>
          <w:color w:val="000000"/>
          <w:sz w:val="24"/>
          <w:szCs w:val="24"/>
        </w:rPr>
        <w:t xml:space="preserve"> к следующим группам основных средств:</w:t>
      </w:r>
    </w:p>
    <w:p w:rsidR="00D3090A" w:rsidRDefault="005F15B6" w:rsidP="0011377D">
      <w:pPr>
        <w:numPr>
          <w:ilvl w:val="0"/>
          <w:numId w:val="3"/>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rsidR="00D3090A" w:rsidRDefault="005F15B6" w:rsidP="0011377D">
      <w:pPr>
        <w:numPr>
          <w:ilvl w:val="0"/>
          <w:numId w:val="3"/>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Pr>
          <w:rFonts w:hAnsi="Times New Roman" w:cs="Times New Roman"/>
          <w:color w:val="000000"/>
          <w:sz w:val="24"/>
          <w:szCs w:val="24"/>
        </w:rPr>
        <w:t>транспортные средства;</w:t>
      </w:r>
    </w:p>
    <w:p w:rsidR="00D3090A" w:rsidRDefault="005F15B6" w:rsidP="0011377D">
      <w:pPr>
        <w:numPr>
          <w:ilvl w:val="0"/>
          <w:numId w:val="3"/>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D3090A" w:rsidRDefault="005F15B6" w:rsidP="0011377D">
      <w:pPr>
        <w:numPr>
          <w:ilvl w:val="0"/>
          <w:numId w:val="3"/>
        </w:numPr>
        <w:tabs>
          <w:tab w:val="clear" w:pos="720"/>
          <w:tab w:val="num" w:pos="567"/>
          <w:tab w:val="left" w:pos="993"/>
        </w:tabs>
        <w:spacing w:before="0" w:beforeAutospacing="0" w:after="0" w:afterAutospacing="0"/>
        <w:ind w:left="0" w:right="180" w:firstLine="709"/>
        <w:jc w:val="both"/>
        <w:rPr>
          <w:rFonts w:hAnsi="Times New Roman" w:cs="Times New Roman"/>
          <w:color w:val="000000"/>
          <w:sz w:val="24"/>
          <w:szCs w:val="24"/>
        </w:rPr>
      </w:pPr>
      <w:r>
        <w:rPr>
          <w:rFonts w:hAnsi="Times New Roman" w:cs="Times New Roman"/>
          <w:color w:val="000000"/>
          <w:sz w:val="24"/>
          <w:szCs w:val="24"/>
        </w:rPr>
        <w:t>многолетние насаждения.</w:t>
      </w:r>
    </w:p>
    <w:p w:rsidR="00D3090A" w:rsidRPr="00FC2586"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13</w:t>
      </w:r>
      <w:r w:rsidR="005F15B6" w:rsidRPr="00541EC2">
        <w:rPr>
          <w:rFonts w:hAnsi="Times New Roman" w:cs="Times New Roman"/>
          <w:color w:val="000000"/>
          <w:sz w:val="24"/>
          <w:szCs w:val="24"/>
          <w:lang w:val="ru-RU"/>
        </w:rPr>
        <w:t xml:space="preserve">. В случае частичной ликвидации или </w:t>
      </w:r>
      <w:proofErr w:type="spellStart"/>
      <w:r w:rsidR="005F15B6" w:rsidRPr="00541EC2">
        <w:rPr>
          <w:rFonts w:hAnsi="Times New Roman" w:cs="Times New Roman"/>
          <w:color w:val="000000"/>
          <w:sz w:val="24"/>
          <w:szCs w:val="24"/>
          <w:lang w:val="ru-RU"/>
        </w:rPr>
        <w:t>разукомплектации</w:t>
      </w:r>
      <w:proofErr w:type="spellEnd"/>
      <w:r w:rsidR="005F15B6" w:rsidRPr="00541EC2">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5F15B6" w:rsidRPr="00FC2586">
        <w:rPr>
          <w:rFonts w:hAnsi="Times New Roman" w:cs="Times New Roman"/>
          <w:color w:val="000000"/>
          <w:sz w:val="24"/>
          <w:szCs w:val="24"/>
          <w:lang w:val="ru-RU"/>
        </w:rPr>
        <w:t>(в порядке убывания важности):</w:t>
      </w:r>
    </w:p>
    <w:p w:rsidR="00D3090A" w:rsidRDefault="005F15B6" w:rsidP="0011377D">
      <w:pPr>
        <w:numPr>
          <w:ilvl w:val="0"/>
          <w:numId w:val="4"/>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D3090A" w:rsidRDefault="005F15B6" w:rsidP="0011377D">
      <w:pPr>
        <w:numPr>
          <w:ilvl w:val="0"/>
          <w:numId w:val="4"/>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Pr>
          <w:rFonts w:hAnsi="Times New Roman" w:cs="Times New Roman"/>
          <w:color w:val="000000"/>
          <w:sz w:val="24"/>
          <w:szCs w:val="24"/>
        </w:rPr>
        <w:t>объему;</w:t>
      </w:r>
    </w:p>
    <w:p w:rsidR="00D3090A" w:rsidRDefault="005F15B6" w:rsidP="0011377D">
      <w:pPr>
        <w:numPr>
          <w:ilvl w:val="0"/>
          <w:numId w:val="4"/>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Pr>
          <w:rFonts w:hAnsi="Times New Roman" w:cs="Times New Roman"/>
          <w:color w:val="000000"/>
          <w:sz w:val="24"/>
          <w:szCs w:val="24"/>
        </w:rPr>
        <w:t>весу;</w:t>
      </w:r>
    </w:p>
    <w:p w:rsidR="00D3090A" w:rsidRPr="00541EC2" w:rsidRDefault="005F15B6" w:rsidP="0011377D">
      <w:pPr>
        <w:numPr>
          <w:ilvl w:val="0"/>
          <w:numId w:val="4"/>
        </w:numPr>
        <w:tabs>
          <w:tab w:val="clear" w:pos="720"/>
          <w:tab w:val="num" w:pos="567"/>
          <w:tab w:val="left" w:pos="993"/>
        </w:tabs>
        <w:spacing w:before="0" w:beforeAutospacing="0" w:after="0" w:afterAutospacing="0"/>
        <w:ind w:left="0" w:right="180"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иному показателю, установленному комиссией по поступлению и выбытию активов.</w:t>
      </w:r>
    </w:p>
    <w:p w:rsidR="00D3090A" w:rsidRDefault="00FC2586" w:rsidP="0011377D">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lang w:val="ru-RU"/>
        </w:rPr>
        <w:t>14</w:t>
      </w:r>
      <w:r w:rsidR="005F15B6" w:rsidRPr="00541EC2">
        <w:rPr>
          <w:rFonts w:hAnsi="Times New Roman" w:cs="Times New Roman"/>
          <w:color w:val="000000"/>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5F15B6" w:rsidRPr="00541EC2">
        <w:rPr>
          <w:rFonts w:hAnsi="Times New Roman" w:cs="Times New Roman"/>
          <w:color w:val="000000"/>
          <w:sz w:val="24"/>
          <w:szCs w:val="24"/>
          <w:lang w:val="ru-RU"/>
        </w:rPr>
        <w:t>дооборудований</w:t>
      </w:r>
      <w:proofErr w:type="spellEnd"/>
      <w:r w:rsidR="005F15B6" w:rsidRPr="00541EC2">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005F15B6">
        <w:rPr>
          <w:rFonts w:hAnsi="Times New Roman" w:cs="Times New Roman"/>
          <w:color w:val="000000"/>
          <w:sz w:val="24"/>
          <w:szCs w:val="24"/>
        </w:rPr>
        <w:t>Данное</w:t>
      </w:r>
      <w:proofErr w:type="spellEnd"/>
      <w:r w:rsidR="005F15B6">
        <w:rPr>
          <w:rFonts w:hAnsi="Times New Roman" w:cs="Times New Roman"/>
          <w:color w:val="000000"/>
          <w:sz w:val="24"/>
          <w:szCs w:val="24"/>
        </w:rPr>
        <w:t xml:space="preserve"> </w:t>
      </w:r>
      <w:proofErr w:type="spellStart"/>
      <w:r w:rsidR="005F15B6">
        <w:rPr>
          <w:rFonts w:hAnsi="Times New Roman" w:cs="Times New Roman"/>
          <w:color w:val="000000"/>
          <w:sz w:val="24"/>
          <w:szCs w:val="24"/>
        </w:rPr>
        <w:t>правило</w:t>
      </w:r>
      <w:proofErr w:type="spellEnd"/>
      <w:r w:rsidR="005F15B6">
        <w:rPr>
          <w:rFonts w:hAnsi="Times New Roman" w:cs="Times New Roman"/>
          <w:color w:val="000000"/>
          <w:sz w:val="24"/>
          <w:szCs w:val="24"/>
        </w:rPr>
        <w:t xml:space="preserve"> </w:t>
      </w:r>
      <w:proofErr w:type="spellStart"/>
      <w:r w:rsidR="005F15B6">
        <w:rPr>
          <w:rFonts w:hAnsi="Times New Roman" w:cs="Times New Roman"/>
          <w:color w:val="000000"/>
          <w:sz w:val="24"/>
          <w:szCs w:val="24"/>
        </w:rPr>
        <w:t>применяется</w:t>
      </w:r>
      <w:proofErr w:type="spellEnd"/>
      <w:r w:rsidR="005F15B6">
        <w:rPr>
          <w:rFonts w:hAnsi="Times New Roman" w:cs="Times New Roman"/>
          <w:color w:val="000000"/>
          <w:sz w:val="24"/>
          <w:szCs w:val="24"/>
        </w:rPr>
        <w:t xml:space="preserve"> к следующим группам основных средств:</w:t>
      </w:r>
    </w:p>
    <w:p w:rsidR="00D3090A" w:rsidRDefault="005F15B6" w:rsidP="0011377D">
      <w:pPr>
        <w:numPr>
          <w:ilvl w:val="0"/>
          <w:numId w:val="5"/>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rsidR="00D3090A" w:rsidRDefault="005F15B6" w:rsidP="0011377D">
      <w:pPr>
        <w:numPr>
          <w:ilvl w:val="0"/>
          <w:numId w:val="5"/>
        </w:numPr>
        <w:tabs>
          <w:tab w:val="clear" w:pos="720"/>
          <w:tab w:val="num" w:pos="567"/>
          <w:tab w:val="left" w:pos="993"/>
        </w:tabs>
        <w:spacing w:before="0" w:beforeAutospacing="0" w:after="0" w:afterAutospacing="0"/>
        <w:ind w:left="0" w:right="180" w:firstLine="709"/>
        <w:jc w:val="both"/>
        <w:rPr>
          <w:rFonts w:hAnsi="Times New Roman" w:cs="Times New Roman"/>
          <w:color w:val="000000"/>
          <w:sz w:val="24"/>
          <w:szCs w:val="24"/>
        </w:rPr>
      </w:pPr>
      <w:r>
        <w:rPr>
          <w:rFonts w:hAnsi="Times New Roman" w:cs="Times New Roman"/>
          <w:color w:val="000000"/>
          <w:sz w:val="24"/>
          <w:szCs w:val="24"/>
        </w:rPr>
        <w:t>транспортные средства.</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15</w:t>
      </w:r>
      <w:r w:rsidR="005F15B6" w:rsidRPr="00541EC2">
        <w:rPr>
          <w:rFonts w:hAnsi="Times New Roman" w:cs="Times New Roman"/>
          <w:color w:val="000000"/>
          <w:sz w:val="24"/>
          <w:szCs w:val="24"/>
          <w:lang w:val="ru-RU"/>
        </w:rPr>
        <w:t xml:space="preserve">. Начисление амортизации основных средств осуществляется линейным методом – на </w:t>
      </w:r>
      <w:r w:rsidR="00541EC2">
        <w:rPr>
          <w:rFonts w:hAnsi="Times New Roman" w:cs="Times New Roman"/>
          <w:color w:val="000000"/>
          <w:sz w:val="24"/>
          <w:szCs w:val="24"/>
          <w:lang w:val="ru-RU"/>
        </w:rPr>
        <w:t xml:space="preserve">все </w:t>
      </w:r>
      <w:r w:rsidR="005F15B6" w:rsidRPr="00541EC2">
        <w:rPr>
          <w:rFonts w:hAnsi="Times New Roman" w:cs="Times New Roman"/>
          <w:color w:val="000000"/>
          <w:sz w:val="24"/>
          <w:szCs w:val="24"/>
          <w:lang w:val="ru-RU"/>
        </w:rPr>
        <w:t>объекты основных средств.</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16</w:t>
      </w:r>
      <w:r w:rsidR="005F15B6" w:rsidRPr="00541EC2">
        <w:rPr>
          <w:rFonts w:hAnsi="Times New Roman" w:cs="Times New Roman"/>
          <w:color w:val="000000"/>
          <w:sz w:val="24"/>
          <w:szCs w:val="24"/>
          <w:lang w:val="ru-RU"/>
        </w:rPr>
        <w:t xml:space="preserve">. В </w:t>
      </w:r>
      <w:proofErr w:type="gramStart"/>
      <w:r w:rsidR="005F15B6" w:rsidRPr="00541EC2">
        <w:rPr>
          <w:rFonts w:hAnsi="Times New Roman" w:cs="Times New Roman"/>
          <w:color w:val="000000"/>
          <w:sz w:val="24"/>
          <w:szCs w:val="24"/>
          <w:lang w:val="ru-RU"/>
        </w:rPr>
        <w:t>случаях</w:t>
      </w:r>
      <w:proofErr w:type="gramEnd"/>
      <w:r w:rsidR="005F15B6" w:rsidRPr="00541EC2">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17</w:t>
      </w:r>
      <w:r w:rsidR="005F15B6" w:rsidRPr="00541EC2">
        <w:rPr>
          <w:rFonts w:hAnsi="Times New Roman" w:cs="Times New Roman"/>
          <w:color w:val="000000"/>
          <w:sz w:val="24"/>
          <w:szCs w:val="24"/>
          <w:lang w:val="ru-RU"/>
        </w:rPr>
        <w:t>.</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18</w:t>
      </w:r>
      <w:r w:rsidR="005F15B6" w:rsidRPr="00541EC2">
        <w:rPr>
          <w:rFonts w:hAnsi="Times New Roman" w:cs="Times New Roman"/>
          <w:color w:val="000000"/>
          <w:sz w:val="24"/>
          <w:szCs w:val="24"/>
          <w:lang w:val="ru-RU"/>
        </w:rPr>
        <w:t xml:space="preserve">. Основные средства стоимостью до 10 000 руб. включительно, находящиеся в эксплуатации, учитываются на </w:t>
      </w:r>
      <w:proofErr w:type="spellStart"/>
      <w:r w:rsidR="005F15B6" w:rsidRPr="00541EC2">
        <w:rPr>
          <w:rFonts w:hAnsi="Times New Roman" w:cs="Times New Roman"/>
          <w:color w:val="000000"/>
          <w:sz w:val="24"/>
          <w:szCs w:val="24"/>
          <w:lang w:val="ru-RU"/>
        </w:rPr>
        <w:t>забалансовом</w:t>
      </w:r>
      <w:proofErr w:type="spellEnd"/>
      <w:r w:rsidR="005F15B6" w:rsidRPr="00541EC2">
        <w:rPr>
          <w:rFonts w:hAnsi="Times New Roman" w:cs="Times New Roman"/>
          <w:color w:val="000000"/>
          <w:sz w:val="24"/>
          <w:szCs w:val="24"/>
          <w:lang w:val="ru-RU"/>
        </w:rPr>
        <w:t xml:space="preserve"> счете 21 по балансовой стоимости.</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19</w:t>
      </w:r>
      <w:r w:rsidR="005F15B6" w:rsidRPr="00541EC2">
        <w:rPr>
          <w:rFonts w:hAnsi="Times New Roman" w:cs="Times New Roman"/>
          <w:color w:val="000000"/>
          <w:sz w:val="24"/>
          <w:szCs w:val="24"/>
          <w:lang w:val="ru-RU"/>
        </w:rPr>
        <w:t>.</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20</w:t>
      </w:r>
      <w:r w:rsidR="005F15B6" w:rsidRPr="00541EC2">
        <w:rPr>
          <w:rFonts w:hAnsi="Times New Roman" w:cs="Times New Roman"/>
          <w:color w:val="000000"/>
          <w:sz w:val="24"/>
          <w:szCs w:val="24"/>
          <w:lang w:val="ru-RU"/>
        </w:rPr>
        <w:t xml:space="preserve">. Начисление амортизации нематериальных активов осуществляется линейным методом – на </w:t>
      </w:r>
      <w:r w:rsidR="00541EC2">
        <w:rPr>
          <w:rFonts w:hAnsi="Times New Roman" w:cs="Times New Roman"/>
          <w:color w:val="000000"/>
          <w:sz w:val="24"/>
          <w:szCs w:val="24"/>
          <w:lang w:val="ru-RU"/>
        </w:rPr>
        <w:t>все</w:t>
      </w:r>
      <w:r w:rsidR="005F15B6" w:rsidRPr="00541EC2">
        <w:rPr>
          <w:rFonts w:hAnsi="Times New Roman" w:cs="Times New Roman"/>
          <w:color w:val="000000"/>
          <w:sz w:val="24"/>
          <w:szCs w:val="24"/>
          <w:lang w:val="ru-RU"/>
        </w:rPr>
        <w:t xml:space="preserve"> объекты нематериальных активов.</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21</w:t>
      </w:r>
      <w:r w:rsidR="005F15B6" w:rsidRPr="00541EC2">
        <w:rPr>
          <w:rFonts w:hAnsi="Times New Roman" w:cs="Times New Roman"/>
          <w:color w:val="000000"/>
          <w:sz w:val="24"/>
          <w:szCs w:val="24"/>
          <w:lang w:val="ru-RU"/>
        </w:rPr>
        <w:t>.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D3090A" w:rsidRPr="00FC2586"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22</w:t>
      </w:r>
      <w:r w:rsidR="005F15B6" w:rsidRPr="00541EC2">
        <w:rPr>
          <w:rFonts w:hAnsi="Times New Roman" w:cs="Times New Roman"/>
          <w:color w:val="000000"/>
          <w:sz w:val="24"/>
          <w:szCs w:val="24"/>
          <w:lang w:val="ru-RU"/>
        </w:rPr>
        <w:t xml:space="preserve">. Единица учета материальных запасов в учреждении – номенклатурная (реестровая) единица. </w:t>
      </w:r>
      <w:r w:rsidR="005F15B6" w:rsidRPr="00FC2586">
        <w:rPr>
          <w:rFonts w:hAnsi="Times New Roman" w:cs="Times New Roman"/>
          <w:color w:val="000000"/>
          <w:sz w:val="24"/>
          <w:szCs w:val="24"/>
          <w:lang w:val="ru-RU"/>
        </w:rPr>
        <w:t>Исключения:</w:t>
      </w:r>
    </w:p>
    <w:p w:rsidR="00D3090A" w:rsidRPr="00541EC2" w:rsidRDefault="005F15B6" w:rsidP="0011377D">
      <w:pPr>
        <w:numPr>
          <w:ilvl w:val="0"/>
          <w:numId w:val="8"/>
        </w:numPr>
        <w:tabs>
          <w:tab w:val="clear" w:pos="720"/>
          <w:tab w:val="num" w:pos="567"/>
          <w:tab w:val="left" w:pos="993"/>
        </w:tabs>
        <w:spacing w:before="0" w:beforeAutospacing="0" w:after="0" w:afterAutospacing="0"/>
        <w:ind w:left="0" w:right="180" w:firstLine="709"/>
        <w:contextualSpacing/>
        <w:jc w:val="both"/>
        <w:rPr>
          <w:rFonts w:hAnsi="Times New Roman" w:cs="Times New Roman"/>
          <w:color w:val="000000"/>
          <w:sz w:val="24"/>
          <w:szCs w:val="24"/>
          <w:lang w:val="ru-RU"/>
        </w:rPr>
      </w:pPr>
      <w:r w:rsidRPr="00541EC2">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41EC2">
        <w:rPr>
          <w:rFonts w:hAnsi="Times New Roman" w:cs="Times New Roman"/>
          <w:color w:val="000000"/>
          <w:sz w:val="24"/>
          <w:szCs w:val="24"/>
          <w:lang w:val="ru-RU"/>
        </w:rPr>
        <w:t>одинаковыми</w:t>
      </w:r>
      <w:proofErr w:type="gramEnd"/>
      <w:r w:rsidRPr="00541EC2">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D3090A" w:rsidRDefault="005F15B6" w:rsidP="0011377D">
      <w:pPr>
        <w:numPr>
          <w:ilvl w:val="0"/>
          <w:numId w:val="8"/>
        </w:numPr>
        <w:tabs>
          <w:tab w:val="clear" w:pos="720"/>
          <w:tab w:val="num" w:pos="567"/>
          <w:tab w:val="left" w:pos="993"/>
        </w:tabs>
        <w:spacing w:before="0" w:beforeAutospacing="0" w:after="0" w:afterAutospacing="0"/>
        <w:ind w:left="0" w:right="180" w:firstLine="709"/>
        <w:jc w:val="both"/>
        <w:rPr>
          <w:rFonts w:hAnsi="Times New Roman" w:cs="Times New Roman"/>
          <w:color w:val="000000"/>
          <w:sz w:val="24"/>
          <w:szCs w:val="24"/>
        </w:rPr>
      </w:pPr>
      <w:r w:rsidRPr="00541EC2">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23</w:t>
      </w:r>
      <w:r w:rsidR="005F15B6" w:rsidRPr="00541EC2">
        <w:rPr>
          <w:rFonts w:hAnsi="Times New Roman" w:cs="Times New Roman"/>
          <w:color w:val="000000"/>
          <w:sz w:val="24"/>
          <w:szCs w:val="24"/>
          <w:lang w:val="ru-RU"/>
        </w:rPr>
        <w:t>.</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24</w:t>
      </w:r>
      <w:r w:rsidR="005F15B6" w:rsidRPr="00541EC2">
        <w:rPr>
          <w:rFonts w:hAnsi="Times New Roman" w:cs="Times New Roman"/>
          <w:color w:val="000000"/>
          <w:sz w:val="24"/>
          <w:szCs w:val="24"/>
          <w:lang w:val="ru-RU"/>
        </w:rPr>
        <w:t>. Товары, переданные в реализацию, отражаются по цене реализации с обособлением торговой наценки.</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25</w:t>
      </w:r>
      <w:r w:rsidR="005F15B6" w:rsidRPr="00541EC2">
        <w:rPr>
          <w:rFonts w:hAnsi="Times New Roman" w:cs="Times New Roman"/>
          <w:color w:val="000000"/>
          <w:sz w:val="24"/>
          <w:szCs w:val="24"/>
          <w:lang w:val="ru-RU"/>
        </w:rPr>
        <w:t>.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26</w:t>
      </w:r>
      <w:r w:rsidR="005F15B6" w:rsidRPr="00541EC2">
        <w:rPr>
          <w:rFonts w:hAnsi="Times New Roman" w:cs="Times New Roman"/>
          <w:color w:val="000000"/>
          <w:sz w:val="24"/>
          <w:szCs w:val="24"/>
          <w:lang w:val="ru-RU"/>
        </w:rPr>
        <w:t>.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00541EC2">
        <w:rPr>
          <w:rFonts w:hAnsi="Times New Roman" w:cs="Times New Roman"/>
          <w:color w:val="000000"/>
          <w:sz w:val="24"/>
          <w:szCs w:val="24"/>
          <w:lang w:val="ru-RU"/>
        </w:rPr>
        <w:t xml:space="preserve"> </w:t>
      </w:r>
      <w:r w:rsidR="005F15B6" w:rsidRPr="00541EC2">
        <w:rPr>
          <w:rFonts w:hAnsi="Times New Roman" w:cs="Times New Roman"/>
          <w:color w:val="000000"/>
          <w:sz w:val="24"/>
          <w:szCs w:val="24"/>
          <w:lang w:val="ru-RU"/>
        </w:rPr>
        <w:t xml:space="preserve">перечисления на </w:t>
      </w:r>
      <w:proofErr w:type="spellStart"/>
      <w:r w:rsidR="005F15B6" w:rsidRPr="00541EC2">
        <w:rPr>
          <w:rFonts w:hAnsi="Times New Roman" w:cs="Times New Roman"/>
          <w:color w:val="000000"/>
          <w:sz w:val="24"/>
          <w:szCs w:val="24"/>
          <w:lang w:val="ru-RU"/>
        </w:rPr>
        <w:t>зарплатную</w:t>
      </w:r>
      <w:proofErr w:type="spellEnd"/>
      <w:r w:rsidR="005F15B6" w:rsidRPr="00541EC2">
        <w:rPr>
          <w:rFonts w:hAnsi="Times New Roman" w:cs="Times New Roman"/>
          <w:color w:val="000000"/>
          <w:sz w:val="24"/>
          <w:szCs w:val="24"/>
          <w:lang w:val="ru-RU"/>
        </w:rPr>
        <w:t xml:space="preserve"> карту материально ответственного лица.</w:t>
      </w:r>
      <w:r w:rsidR="00541EC2">
        <w:rPr>
          <w:rFonts w:hAnsi="Times New Roman" w:cs="Times New Roman"/>
          <w:color w:val="000000"/>
          <w:sz w:val="24"/>
          <w:szCs w:val="24"/>
          <w:lang w:val="ru-RU"/>
        </w:rPr>
        <w:t xml:space="preserve"> </w:t>
      </w:r>
      <w:r w:rsidR="005F15B6" w:rsidRPr="00541EC2">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27</w:t>
      </w:r>
      <w:r w:rsidR="005F15B6" w:rsidRPr="00541EC2">
        <w:rPr>
          <w:rFonts w:hAnsi="Times New Roman" w:cs="Times New Roman"/>
          <w:color w:val="000000"/>
          <w:sz w:val="24"/>
          <w:szCs w:val="24"/>
          <w:lang w:val="ru-RU"/>
        </w:rPr>
        <w:t>.</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28</w:t>
      </w:r>
      <w:r w:rsidR="005F15B6" w:rsidRPr="00541EC2">
        <w:rPr>
          <w:rFonts w:hAnsi="Times New Roman" w:cs="Times New Roman"/>
          <w:color w:val="000000"/>
          <w:sz w:val="24"/>
          <w:szCs w:val="24"/>
          <w:lang w:val="ru-RU"/>
        </w:rPr>
        <w:t>.</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29</w:t>
      </w:r>
      <w:r w:rsidR="005F15B6" w:rsidRPr="00541EC2">
        <w:rPr>
          <w:rFonts w:hAnsi="Times New Roman" w:cs="Times New Roman"/>
          <w:color w:val="000000"/>
          <w:sz w:val="24"/>
          <w:szCs w:val="24"/>
          <w:lang w:val="ru-RU"/>
        </w:rPr>
        <w:t xml:space="preserve">.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5F15B6" w:rsidRPr="00541EC2">
        <w:rPr>
          <w:rFonts w:hAnsi="Times New Roman" w:cs="Times New Roman"/>
          <w:color w:val="000000"/>
          <w:sz w:val="24"/>
          <w:szCs w:val="24"/>
          <w:lang w:val="ru-RU"/>
        </w:rPr>
        <w:t>забалансовом</w:t>
      </w:r>
      <w:proofErr w:type="spellEnd"/>
      <w:r w:rsidR="005F15B6" w:rsidRPr="00541EC2">
        <w:rPr>
          <w:rFonts w:hAnsi="Times New Roman" w:cs="Times New Roman"/>
          <w:color w:val="000000"/>
          <w:sz w:val="24"/>
          <w:szCs w:val="24"/>
          <w:lang w:val="ru-RU"/>
        </w:rPr>
        <w:t xml:space="preserve"> счете 20 «Задолженность, не востребованная кредиторами».</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 xml:space="preserve">С </w:t>
      </w:r>
      <w:proofErr w:type="spellStart"/>
      <w:r w:rsidRPr="00541EC2">
        <w:rPr>
          <w:rFonts w:hAnsi="Times New Roman" w:cs="Times New Roman"/>
          <w:color w:val="000000"/>
          <w:sz w:val="24"/>
          <w:szCs w:val="24"/>
          <w:lang w:val="ru-RU"/>
        </w:rPr>
        <w:t>забалансового</w:t>
      </w:r>
      <w:proofErr w:type="spellEnd"/>
      <w:r w:rsidRPr="00541EC2">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D3090A" w:rsidRPr="00541EC2" w:rsidRDefault="005F15B6" w:rsidP="0011377D">
      <w:pPr>
        <w:numPr>
          <w:ilvl w:val="0"/>
          <w:numId w:val="10"/>
        </w:numPr>
        <w:tabs>
          <w:tab w:val="clear" w:pos="720"/>
          <w:tab w:val="num" w:pos="851"/>
        </w:tabs>
        <w:spacing w:before="0" w:beforeAutospacing="0" w:after="0" w:afterAutospacing="0"/>
        <w:ind w:left="0" w:right="180" w:firstLine="709"/>
        <w:contextualSpacing/>
        <w:jc w:val="both"/>
        <w:rPr>
          <w:rFonts w:hAnsi="Times New Roman" w:cs="Times New Roman"/>
          <w:color w:val="000000"/>
          <w:sz w:val="24"/>
          <w:szCs w:val="24"/>
          <w:lang w:val="ru-RU"/>
        </w:rPr>
      </w:pPr>
      <w:r w:rsidRPr="00541EC2">
        <w:rPr>
          <w:rFonts w:hAnsi="Times New Roman" w:cs="Times New Roman"/>
          <w:color w:val="000000"/>
          <w:sz w:val="24"/>
          <w:szCs w:val="24"/>
          <w:lang w:val="ru-RU"/>
        </w:rPr>
        <w:t xml:space="preserve">по истечении пяти лет отражения задолженности на </w:t>
      </w:r>
      <w:proofErr w:type="spellStart"/>
      <w:r w:rsidRPr="00541EC2">
        <w:rPr>
          <w:rFonts w:hAnsi="Times New Roman" w:cs="Times New Roman"/>
          <w:color w:val="000000"/>
          <w:sz w:val="24"/>
          <w:szCs w:val="24"/>
          <w:lang w:val="ru-RU"/>
        </w:rPr>
        <w:t>забалансовом</w:t>
      </w:r>
      <w:proofErr w:type="spellEnd"/>
      <w:r w:rsidRPr="00541EC2">
        <w:rPr>
          <w:rFonts w:hAnsi="Times New Roman" w:cs="Times New Roman"/>
          <w:color w:val="000000"/>
          <w:sz w:val="24"/>
          <w:szCs w:val="24"/>
          <w:lang w:val="ru-RU"/>
        </w:rPr>
        <w:t xml:space="preserve"> учете;</w:t>
      </w:r>
    </w:p>
    <w:p w:rsidR="00D3090A" w:rsidRPr="00541EC2" w:rsidRDefault="005F15B6" w:rsidP="0011377D">
      <w:pPr>
        <w:numPr>
          <w:ilvl w:val="0"/>
          <w:numId w:val="10"/>
        </w:numPr>
        <w:tabs>
          <w:tab w:val="clear" w:pos="720"/>
          <w:tab w:val="num" w:pos="851"/>
        </w:tabs>
        <w:spacing w:before="0" w:beforeAutospacing="0" w:after="0" w:afterAutospacing="0"/>
        <w:ind w:left="0" w:right="180" w:firstLine="709"/>
        <w:contextualSpacing/>
        <w:jc w:val="both"/>
        <w:rPr>
          <w:rFonts w:hAnsi="Times New Roman" w:cs="Times New Roman"/>
          <w:color w:val="000000"/>
          <w:sz w:val="24"/>
          <w:szCs w:val="24"/>
          <w:lang w:val="ru-RU"/>
        </w:rPr>
      </w:pPr>
      <w:r w:rsidRPr="00541EC2">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D3090A" w:rsidRDefault="005F15B6" w:rsidP="0011377D">
      <w:pPr>
        <w:numPr>
          <w:ilvl w:val="0"/>
          <w:numId w:val="10"/>
        </w:numPr>
        <w:tabs>
          <w:tab w:val="clear" w:pos="720"/>
          <w:tab w:val="num" w:pos="851"/>
        </w:tabs>
        <w:spacing w:before="0" w:beforeAutospacing="0" w:after="0" w:afterAutospacing="0"/>
        <w:ind w:left="0" w:right="180" w:firstLine="709"/>
        <w:jc w:val="both"/>
        <w:rPr>
          <w:rFonts w:hAnsi="Times New Roman" w:cs="Times New Roman"/>
          <w:color w:val="000000"/>
          <w:sz w:val="24"/>
          <w:szCs w:val="24"/>
        </w:rPr>
      </w:pPr>
      <w:r w:rsidRPr="00541EC2">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30</w:t>
      </w:r>
      <w:r w:rsidR="005F15B6" w:rsidRPr="00541EC2">
        <w:rPr>
          <w:rFonts w:hAnsi="Times New Roman" w:cs="Times New Roman"/>
          <w:color w:val="000000"/>
          <w:sz w:val="24"/>
          <w:szCs w:val="24"/>
          <w:lang w:val="ru-RU"/>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31</w:t>
      </w:r>
      <w:r w:rsidR="005F15B6" w:rsidRPr="00541EC2">
        <w:rPr>
          <w:rFonts w:hAnsi="Times New Roman" w:cs="Times New Roman"/>
          <w:color w:val="000000"/>
          <w:sz w:val="24"/>
          <w:szCs w:val="24"/>
          <w:lang w:val="ru-RU"/>
        </w:rPr>
        <w:t>.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32</w:t>
      </w:r>
      <w:r w:rsidR="005F15B6" w:rsidRPr="00541EC2">
        <w:rPr>
          <w:rFonts w:hAnsi="Times New Roman" w:cs="Times New Roman"/>
          <w:color w:val="000000"/>
          <w:sz w:val="24"/>
          <w:szCs w:val="24"/>
          <w:lang w:val="ru-RU"/>
        </w:rPr>
        <w:t xml:space="preserve">. </w:t>
      </w:r>
      <w:proofErr w:type="gramStart"/>
      <w:r w:rsidR="005F15B6" w:rsidRPr="00541EC2">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sidR="005F15B6">
        <w:rPr>
          <w:rFonts w:hAnsi="Times New Roman" w:cs="Times New Roman"/>
          <w:color w:val="000000"/>
          <w:sz w:val="24"/>
          <w:szCs w:val="24"/>
        </w:rPr>
        <w:t> </w:t>
      </w:r>
      <w:r w:rsidR="005F15B6" w:rsidRPr="00541EC2">
        <w:rPr>
          <w:rFonts w:hAnsi="Times New Roman" w:cs="Times New Roman"/>
          <w:color w:val="000000"/>
          <w:sz w:val="24"/>
          <w:szCs w:val="24"/>
          <w:lang w:val="ru-RU"/>
        </w:rPr>
        <w:t xml:space="preserve">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w:t>
      </w:r>
      <w:r w:rsidR="005F15B6" w:rsidRPr="00541EC2">
        <w:rPr>
          <w:rFonts w:hAnsi="Times New Roman" w:cs="Times New Roman"/>
          <w:color w:val="000000"/>
          <w:sz w:val="24"/>
          <w:szCs w:val="24"/>
          <w:lang w:val="ru-RU"/>
        </w:rPr>
        <w:lastRenderedPageBreak/>
        <w:t>по долгосрочному договору строительного подряда, предусмотренной сводным сметным расчетом.</w:t>
      </w:r>
      <w:proofErr w:type="gramEnd"/>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33</w:t>
      </w:r>
      <w:r w:rsidR="005F15B6" w:rsidRPr="00541EC2">
        <w:rPr>
          <w:rFonts w:hAnsi="Times New Roman" w:cs="Times New Roman"/>
          <w:color w:val="000000"/>
          <w:sz w:val="24"/>
          <w:szCs w:val="24"/>
          <w:lang w:val="ru-RU"/>
        </w:rPr>
        <w:t>. В учреждении созд</w:t>
      </w:r>
      <w:r w:rsidR="0011377D">
        <w:rPr>
          <w:rFonts w:hAnsi="Times New Roman" w:cs="Times New Roman"/>
          <w:color w:val="000000"/>
          <w:sz w:val="24"/>
          <w:szCs w:val="24"/>
          <w:lang w:val="ru-RU"/>
        </w:rPr>
        <w:t xml:space="preserve">ается </w:t>
      </w:r>
      <w:r w:rsidR="005F15B6" w:rsidRPr="00541EC2">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D3090A" w:rsidRPr="00541EC2" w:rsidRDefault="00FC2586" w:rsidP="0011377D">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34</w:t>
      </w:r>
      <w:r w:rsidR="005F15B6" w:rsidRPr="00541EC2">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D3090A" w:rsidRPr="005D69C8" w:rsidRDefault="00FC2586" w:rsidP="0011377D">
      <w:pPr>
        <w:spacing w:before="0" w:beforeAutospacing="0" w:after="0" w:afterAutospacing="0"/>
        <w:ind w:firstLine="709"/>
        <w:jc w:val="both"/>
        <w:rPr>
          <w:rFonts w:hAnsi="Times New Roman" w:cs="Times New Roman"/>
          <w:sz w:val="24"/>
          <w:szCs w:val="24"/>
          <w:lang w:val="ru-RU"/>
        </w:rPr>
      </w:pPr>
      <w:r>
        <w:rPr>
          <w:rFonts w:hAnsi="Times New Roman" w:cs="Times New Roman"/>
          <w:color w:val="000000"/>
          <w:sz w:val="24"/>
          <w:szCs w:val="24"/>
          <w:lang w:val="ru-RU"/>
        </w:rPr>
        <w:t>35</w:t>
      </w:r>
      <w:r w:rsidR="005F15B6" w:rsidRPr="005D69C8">
        <w:rPr>
          <w:rFonts w:hAnsi="Times New Roman" w:cs="Times New Roman"/>
          <w:sz w:val="24"/>
          <w:szCs w:val="24"/>
          <w:lang w:val="ru-RU"/>
        </w:rPr>
        <w:t xml:space="preserve">. Бухгалтерская отчетность формируется и хранится в виде электронного документа </w:t>
      </w:r>
      <w:r w:rsidR="005D69C8" w:rsidRPr="005D69C8">
        <w:rPr>
          <w:rFonts w:hAnsi="Times New Roman" w:cs="Times New Roman"/>
          <w:sz w:val="24"/>
          <w:szCs w:val="24"/>
          <w:lang w:val="ru-RU"/>
        </w:rPr>
        <w:t xml:space="preserve">на </w:t>
      </w:r>
      <w:r w:rsidR="005D69C8">
        <w:rPr>
          <w:rFonts w:hAnsi="Times New Roman" w:cs="Times New Roman"/>
          <w:sz w:val="24"/>
          <w:szCs w:val="24"/>
          <w:lang w:val="ru-RU"/>
        </w:rPr>
        <w:t>внешнем жестком диске</w:t>
      </w:r>
      <w:r w:rsidR="005F15B6" w:rsidRPr="005D69C8">
        <w:rPr>
          <w:rFonts w:hAnsi="Times New Roman" w:cs="Times New Roman"/>
          <w:sz w:val="24"/>
          <w:szCs w:val="24"/>
          <w:lang w:val="ru-RU"/>
        </w:rPr>
        <w:t>. Бумажная копия комплекта отчетности хранится у главного бухгалтера.</w:t>
      </w:r>
    </w:p>
    <w:p w:rsidR="00FC2586" w:rsidRPr="005D69C8" w:rsidRDefault="00FC2586" w:rsidP="0011377D">
      <w:pPr>
        <w:spacing w:before="0" w:beforeAutospacing="0" w:after="0" w:afterAutospacing="0"/>
        <w:ind w:firstLine="709"/>
        <w:jc w:val="both"/>
        <w:rPr>
          <w:rFonts w:hAnsi="Times New Roman" w:cs="Times New Roman"/>
          <w:sz w:val="24"/>
          <w:szCs w:val="24"/>
          <w:lang w:val="ru-RU"/>
        </w:rPr>
      </w:pP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b/>
          <w:bCs/>
          <w:color w:val="000000"/>
          <w:sz w:val="24"/>
          <w:szCs w:val="24"/>
          <w:lang w:val="ru-RU"/>
        </w:rPr>
        <w:t>Отдельными</w:t>
      </w:r>
      <w:r w:rsidR="0011377D">
        <w:rPr>
          <w:rFonts w:hAnsi="Times New Roman" w:cs="Times New Roman"/>
          <w:b/>
          <w:bCs/>
          <w:color w:val="000000"/>
          <w:sz w:val="24"/>
          <w:szCs w:val="24"/>
          <w:lang w:val="ru-RU"/>
        </w:rPr>
        <w:t xml:space="preserve"> </w:t>
      </w:r>
      <w:r w:rsidRPr="00541EC2">
        <w:rPr>
          <w:rFonts w:hAnsi="Times New Roman" w:cs="Times New Roman"/>
          <w:b/>
          <w:bCs/>
          <w:color w:val="000000"/>
          <w:sz w:val="24"/>
          <w:szCs w:val="24"/>
          <w:lang w:val="ru-RU"/>
        </w:rPr>
        <w:t>приложениями</w:t>
      </w:r>
      <w:r w:rsidR="0011377D">
        <w:rPr>
          <w:rFonts w:hAnsi="Times New Roman" w:cs="Times New Roman"/>
          <w:b/>
          <w:bCs/>
          <w:color w:val="000000"/>
          <w:sz w:val="24"/>
          <w:szCs w:val="24"/>
          <w:lang w:val="ru-RU"/>
        </w:rPr>
        <w:t xml:space="preserve"> </w:t>
      </w:r>
      <w:r w:rsidRPr="00541EC2">
        <w:rPr>
          <w:rFonts w:hAnsi="Times New Roman" w:cs="Times New Roman"/>
          <w:b/>
          <w:bCs/>
          <w:color w:val="000000"/>
          <w:sz w:val="24"/>
          <w:szCs w:val="24"/>
          <w:lang w:val="ru-RU"/>
        </w:rPr>
        <w:t>к</w:t>
      </w:r>
      <w:r w:rsidR="0011377D">
        <w:rPr>
          <w:rFonts w:hAnsi="Times New Roman" w:cs="Times New Roman"/>
          <w:b/>
          <w:bCs/>
          <w:color w:val="000000"/>
          <w:sz w:val="24"/>
          <w:szCs w:val="24"/>
          <w:lang w:val="ru-RU"/>
        </w:rPr>
        <w:t xml:space="preserve"> </w:t>
      </w:r>
      <w:r w:rsidRPr="00541EC2">
        <w:rPr>
          <w:rFonts w:hAnsi="Times New Roman" w:cs="Times New Roman"/>
          <w:b/>
          <w:bCs/>
          <w:color w:val="000000"/>
          <w:sz w:val="24"/>
          <w:szCs w:val="24"/>
          <w:lang w:val="ru-RU"/>
        </w:rPr>
        <w:t>учетной</w:t>
      </w:r>
      <w:r w:rsidR="0011377D">
        <w:rPr>
          <w:rFonts w:hAnsi="Times New Roman" w:cs="Times New Roman"/>
          <w:b/>
          <w:bCs/>
          <w:color w:val="000000"/>
          <w:sz w:val="24"/>
          <w:szCs w:val="24"/>
          <w:lang w:val="ru-RU"/>
        </w:rPr>
        <w:t xml:space="preserve"> </w:t>
      </w:r>
      <w:r w:rsidRPr="00541EC2">
        <w:rPr>
          <w:rFonts w:hAnsi="Times New Roman" w:cs="Times New Roman"/>
          <w:b/>
          <w:bCs/>
          <w:color w:val="000000"/>
          <w:sz w:val="24"/>
          <w:szCs w:val="24"/>
          <w:lang w:val="ru-RU"/>
        </w:rPr>
        <w:t>политике</w:t>
      </w:r>
      <w:r w:rsidR="0011377D">
        <w:rPr>
          <w:rFonts w:hAnsi="Times New Roman" w:cs="Times New Roman"/>
          <w:b/>
          <w:bCs/>
          <w:color w:val="000000"/>
          <w:sz w:val="24"/>
          <w:szCs w:val="24"/>
          <w:lang w:val="ru-RU"/>
        </w:rPr>
        <w:t xml:space="preserve"> </w:t>
      </w:r>
      <w:proofErr w:type="gramStart"/>
      <w:r w:rsidRPr="00541EC2">
        <w:rPr>
          <w:rFonts w:hAnsi="Times New Roman" w:cs="Times New Roman"/>
          <w:b/>
          <w:bCs/>
          <w:color w:val="000000"/>
          <w:sz w:val="24"/>
          <w:szCs w:val="24"/>
          <w:lang w:val="ru-RU"/>
        </w:rPr>
        <w:t>оформлены</w:t>
      </w:r>
      <w:proofErr w:type="gramEnd"/>
      <w:r w:rsidRPr="00541EC2">
        <w:rPr>
          <w:rFonts w:hAnsi="Times New Roman" w:cs="Times New Roman"/>
          <w:b/>
          <w:bCs/>
          <w:color w:val="000000"/>
          <w:sz w:val="24"/>
          <w:szCs w:val="24"/>
          <w:lang w:val="ru-RU"/>
        </w:rPr>
        <w:t>:</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Состав комиссии по поступлению и выбытию активов</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Состав комиссии по проверке показаний одометров автотранспорта</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Состав комиссии для проведения внезапной ревизии кассы</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Рабочий план счетов</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Перечень хозяйственного и производственного инвентаря</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Санкционирование расходов</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Порядок и график проведения инвентаризации</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Номера журналов операций</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Перечень и образцы самостоятельно разработанных форм первичных документов</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Перечень лиц, которые имеют право подписывать первичные документы</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Положение о внутреннем финансовом контроле и график проведения внутренних проверок финансово-хозяйственной деятельности</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Порядок расчета резерва предстоящих расходов по выплатам персоналу</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D3090A" w:rsidRPr="00541EC2" w:rsidRDefault="005F15B6" w:rsidP="0011377D">
      <w:pPr>
        <w:spacing w:before="0" w:beforeAutospacing="0" w:after="0" w:afterAutospacing="0"/>
        <w:ind w:firstLine="709"/>
        <w:jc w:val="both"/>
        <w:rPr>
          <w:rFonts w:hAnsi="Times New Roman" w:cs="Times New Roman"/>
          <w:color w:val="000000"/>
          <w:sz w:val="24"/>
          <w:szCs w:val="24"/>
          <w:lang w:val="ru-RU"/>
        </w:rPr>
      </w:pPr>
      <w:r w:rsidRPr="00541EC2">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D57257">
        <w:rPr>
          <w:rFonts w:hAnsi="Times New Roman" w:cs="Times New Roman"/>
          <w:color w:val="000000"/>
          <w:sz w:val="24"/>
          <w:szCs w:val="24"/>
          <w:lang w:val="ru-RU"/>
        </w:rPr>
        <w:t>.</w:t>
      </w:r>
    </w:p>
    <w:sectPr w:rsidR="00D3090A" w:rsidRPr="00541EC2" w:rsidSect="0011377D">
      <w:pgSz w:w="11907" w:h="16839"/>
      <w:pgMar w:top="567"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A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3C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172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B2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240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606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808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B63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77C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E45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174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9"/>
  </w:num>
  <w:num w:numId="8">
    <w:abstractNumId w:val="8"/>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27F14"/>
    <w:rsid w:val="0011377D"/>
    <w:rsid w:val="001E7344"/>
    <w:rsid w:val="002D33B1"/>
    <w:rsid w:val="002D3591"/>
    <w:rsid w:val="003514A0"/>
    <w:rsid w:val="00375761"/>
    <w:rsid w:val="004C20BE"/>
    <w:rsid w:val="004F7E17"/>
    <w:rsid w:val="00541EC2"/>
    <w:rsid w:val="005A05CE"/>
    <w:rsid w:val="005D69C8"/>
    <w:rsid w:val="005F15B6"/>
    <w:rsid w:val="00653AF6"/>
    <w:rsid w:val="00B255CE"/>
    <w:rsid w:val="00B73A5A"/>
    <w:rsid w:val="00D3090A"/>
    <w:rsid w:val="00D57257"/>
    <w:rsid w:val="00E438A1"/>
    <w:rsid w:val="00F01E19"/>
    <w:rsid w:val="00FC2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96FB067607A046A111B6A7A529D153" ma:contentTypeVersion="1" ma:contentTypeDescription="Создание документа." ma:contentTypeScope="" ma:versionID="3c2ac1268ec7a565fe21be8db5d4115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XXJ7TYMEEKJ2-1713645374-37</_dlc_DocId>
    <_dlc_DocIdUrl xmlns="57504d04-691e-4fc4-8f09-4f19fdbe90f6">
      <Url>https://vip.gov.mari.ru/minsoc/pni_krasnogor/_layouts/DocIdRedir.aspx?ID=XXJ7TYMEEKJ2-1713645374-37</Url>
      <Description>XXJ7TYMEEKJ2-1713645374-37</Description>
    </_dlc_DocIdUrl>
  </documentManagement>
</p:properties>
</file>

<file path=customXml/itemProps1.xml><?xml version="1.0" encoding="utf-8"?>
<ds:datastoreItem xmlns:ds="http://schemas.openxmlformats.org/officeDocument/2006/customXml" ds:itemID="{985A665C-5595-49B0-B98D-8BB243C81D12}"/>
</file>

<file path=customXml/itemProps2.xml><?xml version="1.0" encoding="utf-8"?>
<ds:datastoreItem xmlns:ds="http://schemas.openxmlformats.org/officeDocument/2006/customXml" ds:itemID="{2187801C-257C-4CB2-AE68-A4E9E79A6E79}"/>
</file>

<file path=customXml/itemProps3.xml><?xml version="1.0" encoding="utf-8"?>
<ds:datastoreItem xmlns:ds="http://schemas.openxmlformats.org/officeDocument/2006/customXml" ds:itemID="{9728508A-946B-4216-A591-E924A46EEA4C}"/>
</file>

<file path=customXml/itemProps4.xml><?xml version="1.0" encoding="utf-8"?>
<ds:datastoreItem xmlns:ds="http://schemas.openxmlformats.org/officeDocument/2006/customXml" ds:itemID="{52DBED81-0C90-4FFD-B1B3-77DA61FDFD69}"/>
</file>

<file path=docProps/app.xml><?xml version="1.0" encoding="utf-8"?>
<Properties xmlns="http://schemas.openxmlformats.org/officeDocument/2006/extended-properties" xmlns:vt="http://schemas.openxmlformats.org/officeDocument/2006/docPropsVTypes">
  <Template>Normal</Template>
  <TotalTime>16</TotalTime>
  <Pages>4</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об учетной политике с 2022</dc:title>
  <dc:creator>Ксения</dc:creator>
  <dc:description>Подготовлено экспертами Актион-МЦФЭР</dc:description>
  <cp:lastModifiedBy>Ксения</cp:lastModifiedBy>
  <cp:revision>9</cp:revision>
  <dcterms:created xsi:type="dcterms:W3CDTF">2022-03-31T16:40:00Z</dcterms:created>
  <dcterms:modified xsi:type="dcterms:W3CDTF">2022-04-01T05:23:00Z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0x0101000996FB067607A046A111B6A7A529D153</vt:lpwstr>
  </property>
  <property fmtid="{D5CDD505-2E9C-101B-9397-08002B2CF9AE}" pid="3" name="_dlc_DocIdItemGuid">
    <vt:lpwstr>24a1bcac-facf-4ed8-ad3f-77c88def4dfe</vt:lpwstr>
  </property>
</Properties>
</file>