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04"/>
        <w:tblBorders/>
      </w:tblPr>
      <w:tblGrid>
        <w:gridCol w:w="4110"/>
        <w:gridCol w:w="1815"/>
        <w:gridCol w:w="3480"/>
      </w:tblGrid>
      <w:tr>
        <w:trPr>
          <w:trHeight w:hRule="atLeast" w:val="1346"/>
          <w:cantSplit w:val="false"/>
        </w:trPr>
        <w:tc>
          <w:tcPr>
            <w:tcW w:type="dxa" w:w="41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</w:pPr>
            <w:r>
              <w:rPr/>
            </w:r>
          </w:p>
        </w:tc>
        <w:tc>
          <w:tcPr>
            <w:tcW w:type="dxa" w:w="1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  <w:drawing>
                <wp:inline distB="0" distL="0" distR="0" distT="0">
                  <wp:extent cx="748030" cy="83058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 xml:space="preserve">Марий Эл Республикысе </w:t>
            </w:r>
          </w:p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 xml:space="preserve">Алексеевский ял кундемысе </w:t>
            </w:r>
          </w:p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>депутат погынжо</w:t>
            </w:r>
          </w:p>
        </w:tc>
        <w:tc>
          <w:tcPr>
            <w:tcW w:type="dxa" w:w="1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4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6"/>
                <w:szCs w:val="26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41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</w:pPr>
            <w:r>
              <w:rPr/>
            </w:r>
          </w:p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ПУНЧАЛ</w:t>
            </w:r>
          </w:p>
        </w:tc>
        <w:tc>
          <w:tcPr>
            <w:tcW w:type="dxa" w:w="1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4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</w:pPr>
            <w:r>
              <w:rPr/>
            </w:r>
          </w:p>
          <w:p>
            <w:pPr>
              <w:pStyle w:val="style26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РЕШЕНИЕ</w:t>
            </w:r>
          </w:p>
        </w:tc>
      </w:tr>
    </w:tbl>
    <w:p>
      <w:pPr>
        <w:pStyle w:val="style0"/>
        <w:jc w:val="both"/>
      </w:pPr>
      <w:r>
        <w:rPr>
          <w:sz w:val="26"/>
          <w:szCs w:val="26"/>
        </w:rPr>
        <w:tab/>
      </w:r>
    </w:p>
    <w:p>
      <w:pPr>
        <w:pStyle w:val="style0"/>
      </w:pPr>
      <w:r>
        <w:rPr/>
      </w:r>
    </w:p>
    <w:p>
      <w:pPr>
        <w:pStyle w:val="style0"/>
        <w:spacing w:line="240" w:lineRule="atLeast"/>
      </w:pPr>
      <w:r>
        <w:rPr>
          <w:szCs w:val="28"/>
        </w:rPr>
        <w:t>32 сессия                                                                    от 20 февраля 2023 года</w:t>
      </w:r>
    </w:p>
    <w:p>
      <w:pPr>
        <w:pStyle w:val="style0"/>
        <w:spacing w:line="240" w:lineRule="atLeast"/>
      </w:pPr>
      <w:r>
        <w:rPr>
          <w:szCs w:val="28"/>
        </w:rPr>
        <w:t>четвертого созыва                                                                      № 226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3"/>
        <w:jc w:val="center"/>
      </w:pPr>
      <w:r>
        <w:rPr>
          <w:b/>
          <w:bCs/>
          <w:sz w:val="28"/>
          <w:szCs w:val="28"/>
        </w:rPr>
        <w:t>О внесении изменений в Положение о муниципальной службе в Алексеевском сельском поселении Советского муниципального района Республики Марий Эл, утвержденное решением Собрания депутатов Алексеевского сельского поселения Советского муниципального района</w:t>
        <w:br/>
        <w:t>от 16 декабря 2022 года № 204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szCs w:val="28"/>
        </w:rPr>
        <w:tab/>
        <w:t xml:space="preserve">В соответствии с Федеральным законом от 05 декабря 2022 года </w:t>
        <w:br/>
        <w:t>№ 498-ФЗ «О внесении изменений в отдельные законодательные акты Российской Федерации», Уставом Алексеевского сельского поселения Советского муниципального района Собрание депутатов Алексеевского сельского поселения Советского муниципального района р е ш и л о: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 xml:space="preserve">1. Внести в Положение о муниципальной службе в Алексеевском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от 16 декабря 2022 года № 204, следующие изменения: 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 xml:space="preserve">1.1. </w:t>
      </w:r>
      <w:hyperlink r:id="rId3">
        <w:r>
          <w:rPr>
            <w:rStyle w:val="style16"/>
            <w:rStyle w:val="style16"/>
            <w:szCs w:val="28"/>
          </w:rPr>
          <w:t>часть 1 статьи 13</w:t>
        </w:r>
      </w:hyperlink>
      <w:r>
        <w:rPr>
          <w:szCs w:val="28"/>
        </w:rPr>
        <w:t xml:space="preserve"> дополнить пунктом 12 следующего содержания: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«12) приобретения им статуса иностранного агента.»;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 xml:space="preserve">1.2. </w:t>
      </w:r>
      <w:hyperlink r:id="rId4">
        <w:r>
          <w:rPr>
            <w:rStyle w:val="style16"/>
            <w:rStyle w:val="style16"/>
            <w:szCs w:val="28"/>
          </w:rPr>
          <w:t>часть 1 статьи 22</w:t>
        </w:r>
      </w:hyperlink>
      <w:r>
        <w:rPr>
          <w:szCs w:val="28"/>
        </w:rPr>
        <w:t xml:space="preserve"> дополнить пунктом 4 следующего содержания: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«4) приобретения муниципальным служащим статуса иностранного агента.»;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1.3. пункт 4 статьи 33 изложить в следующей редакции: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«4.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страхования.».</w:t>
      </w:r>
    </w:p>
    <w:p>
      <w:pPr>
        <w:pStyle w:val="style0"/>
        <w:ind w:firstLine="709" w:left="0" w:right="0"/>
        <w:jc w:val="both"/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Cs w:val="28"/>
        </w:rPr>
        <w:t>официальный</w:t>
      </w:r>
      <w:r>
        <w:rPr>
          <w:szCs w:val="28"/>
        </w:rPr>
        <w:t xml:space="preserve"> интернет-портал Республики Марий Эл (адрес доступа: mari-el.gov.ru).</w:t>
      </w:r>
    </w:p>
    <w:p>
      <w:pPr>
        <w:pStyle w:val="style0"/>
        <w:ind w:firstLine="709" w:left="0" w:right="0"/>
        <w:jc w:val="both"/>
      </w:pPr>
      <w:r>
        <w:rPr>
          <w:bCs/>
          <w:szCs w:val="28"/>
        </w:rPr>
        <w:t>3. Настоящее решение вступает в силу после его обнародования</w:t>
      </w:r>
      <w:r>
        <w:rPr>
          <w:szCs w:val="28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</w:t>
      </w:r>
    </w:p>
    <w:p>
      <w:pPr>
        <w:pStyle w:val="style0"/>
      </w:pPr>
      <w:r>
        <w:rPr/>
        <w:t xml:space="preserve">                    </w:t>
      </w:r>
      <w:r>
        <w:rPr/>
        <w:t xml:space="preserve">Глава </w:t>
      </w:r>
    </w:p>
    <w:p>
      <w:pPr>
        <w:pStyle w:val="style0"/>
      </w:pPr>
      <w:r>
        <w:rPr/>
        <w:t>Алексеевского сельского поселения</w:t>
        <w:tab/>
        <w:t xml:space="preserve">                                          Е.Г.Губина</w:t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-2457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overflowPunct w:val="false"/>
      <w:spacing w:after="28" w:before="28"/>
    </w:pPr>
    <w:rPr>
      <w:rFonts w:eastAsia="Calibri"/>
      <w:sz w:val="24"/>
      <w:szCs w:val="24"/>
    </w:rPr>
  </w:style>
  <w:style w:styleId="style24" w:type="paragraph">
    <w:name w:val="No Spacing"/>
    <w:next w:val="style2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00000A"/>
      <w:sz w:val="22"/>
      <w:szCs w:val="22"/>
      <w:lang w:bidi="ar-SA" w:eastAsia="ar-SA" w:val="ru-RU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ConsPlusNormal"/>
    <w:next w:val="style26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7" w:type="paragraph">
    <w:name w:val="Содержимое таблицы"/>
    <w:basedOn w:val="style0"/>
    <w:next w:val="style27"/>
    <w:pPr>
      <w:suppressLineNumbers/>
    </w:pPr>
    <w:rPr/>
  </w:style>
  <w:style w:styleId="style28" w:type="paragraph">
    <w:name w:val="Заголовок таблицы"/>
    <w:basedOn w:val="style0"/>
    <w:next w:val="style28"/>
    <w:pPr>
      <w:suppressLineNumbers/>
      <w:suppressAutoHyphens w:val="true"/>
      <w:overflowPunct w:val="false"/>
      <w:jc w:val="center"/>
    </w:pPr>
    <w:rPr>
      <w:b/>
      <w:bCs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4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2023-01-13T08:07:00.00Z</dcterms:created>
  <dc:creator>Специалсит</dc:creator>
  <cp:lastModifiedBy>Админ</cp:lastModifiedBy>
  <cp:lastPrinted>2023-02-17T12:03:40.40Z</cp:lastPrinted>
  <dcterms:modified xsi:type="dcterms:W3CDTF">2023-01-25T07:56:00.00Z</dcterms:modified>
  <cp:revision>7</cp:revision>
</cp:coreProperties>
</file>