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6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/>
      </w:pPr>
      <w:r>
        <w:rPr>
          <w:b/>
          <w:color w:val="000000"/>
          <w:sz w:val="28"/>
          <w:szCs w:val="28"/>
        </w:rPr>
        <w:t xml:space="preserve">О внесении дополнений в решение Собрания депутатов  городского поселения Советский от  12 марта 2020 года № 45 «Об утверждении Порядка предоставления иных межбюджетных трансфертов из бюджета городского поселения Советский  бюджету Советского муниципального района» </w:t>
      </w:r>
    </w:p>
    <w:p>
      <w:pPr>
        <w:pStyle w:val="Style15"/>
        <w:spacing w:before="0" w:after="20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firstLine="708"/>
        <w:jc w:val="both"/>
        <w:rPr/>
      </w:pPr>
      <w:r>
        <w:rPr>
          <w:color w:val="000000"/>
          <w:sz w:val="28"/>
        </w:rPr>
        <w:t>В соответствии со статьями 9 и 142.5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 в Российской Федерации», Собрание депутатов городского поселения Советский решило:</w:t>
      </w:r>
    </w:p>
    <w:p>
      <w:pPr>
        <w:pStyle w:val="Style15"/>
        <w:spacing w:before="0" w:after="0"/>
        <w:ind w:left="0" w:right="0" w:firstLine="708"/>
        <w:jc w:val="both"/>
        <w:rPr/>
      </w:pPr>
      <w:r>
        <w:rPr>
          <w:color w:val="000000"/>
          <w:sz w:val="28"/>
        </w:rPr>
        <w:t>1. Внести в Порядок предоставления иных межбюджетных трансфертов из бюджета городского поселения Советский  бюджету Советского муниципального района, утвержденный решением Собрания депутатов городского поселения Советский 12 марта 2020 года № 45 (далее – Порядок) следующие дополнения:</w:t>
      </w:r>
    </w:p>
    <w:p>
      <w:pPr>
        <w:pStyle w:val="Style15"/>
        <w:spacing w:before="0" w:after="0"/>
        <w:ind w:left="0" w:right="0" w:firstLine="708"/>
        <w:jc w:val="both"/>
        <w:rPr/>
      </w:pPr>
      <w:r>
        <w:rPr>
          <w:color w:val="000000"/>
          <w:sz w:val="28"/>
        </w:rPr>
        <w:t>1.1. Пункт 3.1. Порядка дополнить абзацами четвертым - пятым следующего содержания: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>
          <w:color w:val="000000"/>
          <w:sz w:val="28"/>
        </w:rPr>
        <w:t>«по организации и осуществлению мероприятий по территориальной обороне и гражданской обороне;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по созданию, содержанию и организации деятельности аварийно-спасательных служб и (или) аварийно-спасательных формирований на территории поселения.».</w:t>
      </w:r>
    </w:p>
    <w:p>
      <w:pPr>
        <w:pStyle w:val="Style15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276" w:before="0" w:after="0"/>
        <w:ind w:left="1131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 xml:space="preserve">1.2. </w:t>
      </w:r>
      <w:r>
        <w:rPr>
          <w:color w:val="000000"/>
          <w:sz w:val="28"/>
        </w:rPr>
        <w:t>Порядок дополнить пунктом 3.3. следующего содержания: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«3.3. Иные межбюджетные трансферты по  организации и осуществлению мероприятий по территориальной обороне и гражданской обороне,  рассчитываются по следующей формуле:</w:t>
      </w:r>
    </w:p>
    <w:p>
      <w:pPr>
        <w:pStyle w:val="Style15"/>
        <w:spacing w:lineRule="auto" w:line="276" w:before="0" w:after="0"/>
        <w:ind w:left="0" w:right="0" w:firstLine="709"/>
        <w:jc w:val="center"/>
        <w:rPr/>
      </w:pPr>
      <w:r>
        <w:rPr/>
        <w:drawing>
          <wp:inline distT="0" distB="0" distL="0" distR="0">
            <wp:extent cx="2066925" cy="25717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,</w:t>
      </w:r>
    </w:p>
    <w:p>
      <w:pPr>
        <w:pStyle w:val="Style15"/>
        <w:spacing w:lineRule="auto" w:line="276" w:before="0" w:after="0"/>
        <w:ind w:left="0" w:right="0" w:firstLine="709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  <w:t>где: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304800" cy="142875"/>
            <wp:effectExtent l="0" t="0" r="0" b="0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00"/>
          <w:sz w:val="20"/>
        </w:rPr>
        <w:t>1.4.</w:t>
      </w:r>
      <w:r>
        <w:rPr>
          <w:color w:val="000000"/>
        </w:rPr>
        <w:t xml:space="preserve">  – </w:t>
      </w:r>
      <w:r>
        <w:rPr>
          <w:color w:val="000000"/>
          <w:sz w:val="28"/>
        </w:rPr>
        <w:t>размер иных межбюджетных трансфертов, передаваемых бюджету Советского муниципального района Республики Марий Эл из бюджета городского поселения Советский Советского муниципального района Республики Марий Эл на осуществление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114300" cy="152400"/>
            <wp:effectExtent l="0" t="0" r="0" b="0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– </w:t>
      </w:r>
      <w:r>
        <w:rPr>
          <w:color w:val="000000"/>
          <w:sz w:val="28"/>
        </w:rPr>
        <w:t xml:space="preserve">количество единиц работ (услуг) по содержанию </w:t>
      </w:r>
      <w:r>
        <w:rPr>
          <w:i/>
          <w:color w:val="000000"/>
          <w:sz w:val="28"/>
        </w:rPr>
        <w:t>i-го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имущества органа местного самоуправления Советского муниципального района Республики Марий Эл, используемого </w:t>
        <w:br/>
        <w:t> для осуществления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266700" cy="200025"/>
            <wp:effectExtent l="0" t="0" r="0" b="0"/>
            <wp:docPr id="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– </w:t>
      </w:r>
      <w:r>
        <w:rPr>
          <w:color w:val="000000"/>
          <w:sz w:val="28"/>
        </w:rPr>
        <w:t xml:space="preserve">цена одной единицы работ (услуг) по содержанию </w:t>
      </w:r>
      <w:r>
        <w:rPr>
          <w:i/>
          <w:color w:val="000000"/>
          <w:sz w:val="28"/>
        </w:rPr>
        <w:t>i-го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имущества органа местного самоуправления Советского муниципального района Республики Марий Эл, используемого </w:t>
        <w:br/>
        <w:t> для осуществления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152400" cy="152400"/>
            <wp:effectExtent l="0" t="0" r="0" b="0"/>
            <wp:docPr id="6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– </w:t>
      </w:r>
      <w:r>
        <w:rPr>
          <w:color w:val="000000"/>
          <w:sz w:val="28"/>
        </w:rPr>
        <w:t>количество единиц приобретаемого органом местного самоуправления Советского муниципального района Республики Марий Эл</w:t>
      </w:r>
      <w:r>
        <w:rPr>
          <w:color w:val="000000"/>
        </w:rPr>
        <w:t xml:space="preserve">  </w:t>
      </w:r>
      <w:r>
        <w:rPr>
          <w:i/>
          <w:color w:val="000000"/>
          <w:sz w:val="28"/>
        </w:rPr>
        <w:t>i-ого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материального запаса, необходимого для осуществления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266700" cy="200025"/>
            <wp:effectExtent l="0" t="0" r="0" b="0"/>
            <wp:docPr id="7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– </w:t>
      </w:r>
      <w:r>
        <w:rPr>
          <w:color w:val="000000"/>
          <w:sz w:val="28"/>
        </w:rPr>
        <w:t xml:space="preserve">цена одной единицы приобретаемого органом местного самоуправления Советского муниципального района Республики Марий Эл  </w:t>
      </w:r>
      <w:r>
        <w:rPr>
          <w:i/>
          <w:color w:val="000000"/>
          <w:sz w:val="28"/>
        </w:rPr>
        <w:t>i-ого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материального запаса, необходимого  для осуществления части переданного полномочия.».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>
          <w:color w:val="000000"/>
          <w:sz w:val="28"/>
        </w:rPr>
        <w:t xml:space="preserve">1.3. </w:t>
      </w:r>
      <w:r>
        <w:rPr>
          <w:color w:val="000000"/>
          <w:sz w:val="28"/>
        </w:rPr>
        <w:t>Порядок дополнить пунктом 3.4 следующего содержания: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«3.4. Иные межбюджетные трансферты по созданию, содержанию и организации деятельности аварийно-спасательных служб и (или) аварийно-спасательных формирований на территории поселения,  рассчитываются по следующей формуле:</w:t>
      </w:r>
    </w:p>
    <w:p>
      <w:pPr>
        <w:pStyle w:val="Style15"/>
        <w:spacing w:lineRule="auto" w:line="276" w:before="0" w:after="0"/>
        <w:ind w:left="0" w:right="0" w:firstLine="709"/>
        <w:jc w:val="center"/>
        <w:rPr/>
      </w:pPr>
      <w:r>
        <w:rPr/>
        <w:drawing>
          <wp:inline distT="0" distB="0" distL="0" distR="0">
            <wp:extent cx="2066925" cy="257175"/>
            <wp:effectExtent l="0" t="0" r="0" b="0"/>
            <wp:docPr id="8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,</w:t>
      </w:r>
    </w:p>
    <w:p>
      <w:pPr>
        <w:pStyle w:val="Style15"/>
        <w:spacing w:lineRule="auto" w:line="276" w:before="0" w:after="0"/>
        <w:ind w:left="0" w:right="0" w:firstLine="709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  <w:t>где: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304800" cy="142875"/>
            <wp:effectExtent l="0" t="0" r="0" b="0"/>
            <wp:docPr id="9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00"/>
          <w:sz w:val="20"/>
        </w:rPr>
        <w:t>1.4.</w:t>
      </w:r>
      <w:r>
        <w:rPr>
          <w:color w:val="000000"/>
        </w:rPr>
        <w:t xml:space="preserve">  – </w:t>
      </w:r>
      <w:r>
        <w:rPr>
          <w:color w:val="000000"/>
          <w:sz w:val="28"/>
        </w:rPr>
        <w:t>размер иных межбюджетных трансфертов, передаваемых бюджету Советского муниципального района Республики Марий Эл из бюджета городского поселения Советский Советского муниципального района Республики Марий Эл на осуществление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114300" cy="152400"/>
            <wp:effectExtent l="0" t="0" r="0" b="0"/>
            <wp:docPr id="10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– </w:t>
      </w:r>
      <w:r>
        <w:rPr>
          <w:color w:val="000000"/>
          <w:sz w:val="28"/>
        </w:rPr>
        <w:t xml:space="preserve">количество единиц работ (услуг) по содержанию </w:t>
      </w:r>
      <w:r>
        <w:rPr>
          <w:i/>
          <w:color w:val="000000"/>
          <w:sz w:val="28"/>
        </w:rPr>
        <w:t>i-го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имущества органа местного самоуправления Советского муниципального района Республики Марий Эл, используемого </w:t>
        <w:br/>
        <w:t> для осуществления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266700" cy="200025"/>
            <wp:effectExtent l="0" t="0" r="0" b="0"/>
            <wp:docPr id="1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– </w:t>
      </w:r>
      <w:r>
        <w:rPr>
          <w:color w:val="000000"/>
          <w:sz w:val="28"/>
        </w:rPr>
        <w:t xml:space="preserve">цена одной единицы работ (услуг) по содержанию </w:t>
      </w:r>
      <w:r>
        <w:rPr>
          <w:i/>
          <w:color w:val="000000"/>
          <w:sz w:val="28"/>
        </w:rPr>
        <w:t>i-го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имущества органа местного самоуправления Советского муниципального района Республики Марий Эл, используемого </w:t>
        <w:br/>
        <w:t> для осуществления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152400" cy="152400"/>
            <wp:effectExtent l="0" t="0" r="0" b="0"/>
            <wp:docPr id="1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– </w:t>
      </w:r>
      <w:r>
        <w:rPr>
          <w:color w:val="000000"/>
          <w:sz w:val="28"/>
        </w:rPr>
        <w:t>количество единиц приобретаемого органом местного самоуправления Советского муниципального района Республики Марий Эл</w:t>
      </w:r>
      <w:r>
        <w:rPr>
          <w:color w:val="000000"/>
        </w:rPr>
        <w:t xml:space="preserve">  </w:t>
      </w:r>
      <w:r>
        <w:rPr>
          <w:i/>
          <w:color w:val="000000"/>
          <w:sz w:val="28"/>
        </w:rPr>
        <w:t>i-ого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материального запаса, необходимого для осуществления части переданного полномочия;</w:t>
      </w:r>
    </w:p>
    <w:p>
      <w:pPr>
        <w:pStyle w:val="Style15"/>
        <w:spacing w:lineRule="auto" w:line="276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266700" cy="200025"/>
            <wp:effectExtent l="0" t="0" r="0" b="0"/>
            <wp:docPr id="13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– </w:t>
      </w:r>
      <w:r>
        <w:rPr>
          <w:color w:val="000000"/>
          <w:sz w:val="28"/>
        </w:rPr>
        <w:t xml:space="preserve">цена одной единицы приобретаемого органом местного самоуправления Советского муниципального района Республики Марий Эл  </w:t>
      </w:r>
      <w:r>
        <w:rPr>
          <w:i/>
          <w:color w:val="000000"/>
          <w:sz w:val="28"/>
        </w:rPr>
        <w:t>i-ого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материального запаса, необходимого  для осуществления части переданного полномочия.».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 xml:space="preserve">2. Настоящее решение вступает в силу после обнародования. 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mari-el.gov.ru).</w:t>
      </w:r>
    </w:p>
    <w:p>
      <w:pPr>
        <w:pStyle w:val="Style15"/>
        <w:spacing w:lineRule="auto" w:line="276" w:before="0" w:after="0"/>
        <w:ind w:left="0" w:right="0" w:firstLine="709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 Павлова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spacing w:before="0" w:after="120"/>
        <w:jc w:val="center"/>
        <w:rPr/>
      </w:pPr>
      <w:r>
        <w:rPr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LibreOffice/6.1.2.1$Windows_x86 LibreOffice_project/65905a128db06ba48db947242809d14d3f9a93fe</Application>
  <Pages>4</Pages>
  <Words>520</Words>
  <Characters>4007</Characters>
  <CharactersWithSpaces>4679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2023-02-02T11:00:21Z</cp:lastPrinted>
  <dcterms:modified xsi:type="dcterms:W3CDTF">2023-02-02T11:01:18Z</dcterms:modified>
  <cp:revision>10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