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4"/>
        <w:gridCol w:w="1353"/>
        <w:gridCol w:w="3727"/>
      </w:tblGrid>
      <w:tr w:rsidR="002C562D" w:rsidRPr="008E61CA" w:rsidTr="004E04A9">
        <w:trPr>
          <w:trHeight w:val="1255"/>
          <w:jc w:val="center"/>
        </w:trPr>
        <w:tc>
          <w:tcPr>
            <w:tcW w:w="3704" w:type="dxa"/>
          </w:tcPr>
          <w:p w:rsidR="002C562D" w:rsidRPr="009D4178" w:rsidRDefault="002C562D" w:rsidP="004E04A9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  <w:r w:rsidRPr="009D4178">
              <w:rPr>
                <w:b/>
                <w:lang w:val="ru-RU" w:eastAsia="ru-RU"/>
              </w:rPr>
              <w:t>МАРИЙ ЭЛ РЕСПУБЛИК</w:t>
            </w:r>
          </w:p>
          <w:p w:rsidR="002C562D" w:rsidRPr="009D4178" w:rsidRDefault="002C562D" w:rsidP="004E04A9">
            <w:pPr>
              <w:widowControl/>
              <w:jc w:val="center"/>
              <w:rPr>
                <w:b/>
                <w:lang w:val="ru-RU" w:eastAsia="ru-RU"/>
              </w:rPr>
            </w:pPr>
            <w:r w:rsidRPr="009D4178">
              <w:rPr>
                <w:b/>
                <w:lang w:val="ru-RU" w:eastAsia="ru-RU"/>
              </w:rPr>
              <w:t>ШЕРНУР МУНИЦИПАЛЬНЫЙ</w:t>
            </w:r>
            <w:r w:rsidRPr="009D4178">
              <w:rPr>
                <w:b/>
                <w:lang w:val="ru-RU" w:eastAsia="ru-RU"/>
              </w:rPr>
              <w:br/>
              <w:t xml:space="preserve">РАЙОНЫН </w:t>
            </w:r>
          </w:p>
          <w:p w:rsidR="002C562D" w:rsidRPr="009D4178" w:rsidRDefault="002C562D" w:rsidP="004E04A9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  <w:r w:rsidRPr="009D4178">
              <w:rPr>
                <w:b/>
                <w:lang w:val="ru-RU" w:eastAsia="ru-RU"/>
              </w:rPr>
              <w:t>ДЕПУТАТ ПОГЫНЖО</w:t>
            </w:r>
          </w:p>
        </w:tc>
        <w:tc>
          <w:tcPr>
            <w:tcW w:w="1353" w:type="dxa"/>
          </w:tcPr>
          <w:p w:rsidR="002C562D" w:rsidRPr="009D4178" w:rsidRDefault="002C562D" w:rsidP="004E04A9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676275" cy="733425"/>
                  <wp:effectExtent l="0" t="0" r="9525" b="952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2C562D" w:rsidRPr="009D4178" w:rsidRDefault="002C562D" w:rsidP="004E04A9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  <w:r w:rsidRPr="009D4178">
              <w:rPr>
                <w:b/>
                <w:lang w:val="ru-RU" w:eastAsia="ru-RU"/>
              </w:rPr>
              <w:t>СОБРАНИЕ ДЕПУТАТОВ</w:t>
            </w:r>
          </w:p>
          <w:p w:rsidR="002C562D" w:rsidRPr="009D4178" w:rsidRDefault="002C562D" w:rsidP="004E04A9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  <w:r w:rsidRPr="009D4178">
              <w:rPr>
                <w:b/>
                <w:lang w:val="ru-RU" w:eastAsia="ru-RU"/>
              </w:rPr>
              <w:t>СЕРНУРСКОГО МУНИЦИПАЛЬНОГО РАЙОНА РЕСПУБЛИКИ МАРИЙ ЭЛ</w:t>
            </w:r>
          </w:p>
        </w:tc>
      </w:tr>
    </w:tbl>
    <w:p w:rsidR="002C562D" w:rsidRPr="009D4178" w:rsidRDefault="002C562D" w:rsidP="002C562D">
      <w:pPr>
        <w:widowControl/>
        <w:jc w:val="center"/>
        <w:rPr>
          <w:b/>
          <w:sz w:val="20"/>
          <w:szCs w:val="28"/>
          <w:lang w:val="ru-RU" w:eastAsia="ru-RU"/>
        </w:rPr>
      </w:pPr>
    </w:p>
    <w:p w:rsidR="002C562D" w:rsidRPr="009D4178" w:rsidRDefault="002C562D" w:rsidP="002C562D">
      <w:pPr>
        <w:widowControl/>
        <w:jc w:val="center"/>
        <w:rPr>
          <w:b/>
          <w:sz w:val="20"/>
          <w:szCs w:val="28"/>
          <w:lang w:val="ru-RU" w:eastAsia="ru-RU"/>
        </w:rPr>
      </w:pPr>
    </w:p>
    <w:p w:rsidR="002C562D" w:rsidRPr="009D4178" w:rsidRDefault="002C562D" w:rsidP="002C562D">
      <w:pPr>
        <w:widowControl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9D4178">
        <w:rPr>
          <w:b/>
          <w:sz w:val="28"/>
          <w:szCs w:val="28"/>
          <w:lang w:val="ru-RU" w:eastAsia="ru-RU"/>
        </w:rPr>
        <w:t xml:space="preserve">РЕШЕНИЕ № </w:t>
      </w:r>
      <w:r>
        <w:rPr>
          <w:b/>
          <w:sz w:val="28"/>
          <w:szCs w:val="28"/>
          <w:lang w:val="ru-RU" w:eastAsia="ru-RU"/>
        </w:rPr>
        <w:t>97</w:t>
      </w:r>
    </w:p>
    <w:p w:rsidR="002C562D" w:rsidRPr="009D4178" w:rsidRDefault="002C562D" w:rsidP="002C562D">
      <w:pPr>
        <w:widowControl/>
        <w:jc w:val="center"/>
        <w:rPr>
          <w:b/>
          <w:sz w:val="20"/>
          <w:szCs w:val="28"/>
          <w:lang w:val="ru-RU" w:eastAsia="ru-RU"/>
        </w:rPr>
      </w:pPr>
    </w:p>
    <w:tbl>
      <w:tblPr>
        <w:tblW w:w="8958" w:type="dxa"/>
        <w:jc w:val="center"/>
        <w:tblLayout w:type="fixed"/>
        <w:tblLook w:val="01E0" w:firstRow="1" w:lastRow="1" w:firstColumn="1" w:lastColumn="1" w:noHBand="0" w:noVBand="0"/>
      </w:tblPr>
      <w:tblGrid>
        <w:gridCol w:w="4897"/>
        <w:gridCol w:w="4061"/>
      </w:tblGrid>
      <w:tr w:rsidR="002C562D" w:rsidRPr="009D4178" w:rsidTr="004E04A9">
        <w:trPr>
          <w:trHeight w:val="634"/>
          <w:jc w:val="center"/>
        </w:trPr>
        <w:tc>
          <w:tcPr>
            <w:tcW w:w="4897" w:type="dxa"/>
            <w:vAlign w:val="center"/>
          </w:tcPr>
          <w:p w:rsidR="002C562D" w:rsidRPr="009D4178" w:rsidRDefault="002C562D" w:rsidP="004E04A9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9D4178">
              <w:rPr>
                <w:sz w:val="28"/>
                <w:szCs w:val="28"/>
                <w:lang w:val="ru-RU" w:eastAsia="ru-RU"/>
              </w:rPr>
              <w:t>Х</w:t>
            </w:r>
            <w:proofErr w:type="gramStart"/>
            <w:r w:rsidRPr="009D4178">
              <w:rPr>
                <w:sz w:val="28"/>
                <w:szCs w:val="28"/>
                <w:lang w:eastAsia="ru-RU"/>
              </w:rPr>
              <w:t>I</w:t>
            </w:r>
            <w:proofErr w:type="gramEnd"/>
            <w:r w:rsidRPr="009D4178">
              <w:rPr>
                <w:sz w:val="28"/>
                <w:szCs w:val="28"/>
                <w:lang w:eastAsia="ru-RU"/>
              </w:rPr>
              <w:t xml:space="preserve"> </w:t>
            </w:r>
            <w:r w:rsidRPr="009D4178">
              <w:rPr>
                <w:sz w:val="28"/>
                <w:szCs w:val="28"/>
                <w:lang w:val="ru-RU" w:eastAsia="ru-RU"/>
              </w:rPr>
              <w:t>сессия</w:t>
            </w:r>
          </w:p>
          <w:p w:rsidR="002C562D" w:rsidRPr="009D4178" w:rsidRDefault="002C562D" w:rsidP="004E04A9">
            <w:pPr>
              <w:widowControl/>
              <w:rPr>
                <w:sz w:val="28"/>
                <w:szCs w:val="28"/>
                <w:lang w:val="ru-RU" w:eastAsia="ru-RU"/>
              </w:rPr>
            </w:pPr>
            <w:r w:rsidRPr="009D4178">
              <w:rPr>
                <w:sz w:val="28"/>
                <w:szCs w:val="28"/>
                <w:lang w:eastAsia="ru-RU"/>
              </w:rPr>
              <w:t xml:space="preserve">VII </w:t>
            </w:r>
            <w:r w:rsidRPr="009D4178">
              <w:rPr>
                <w:sz w:val="28"/>
                <w:szCs w:val="28"/>
                <w:lang w:val="ru-RU" w:eastAsia="ru-RU"/>
              </w:rPr>
              <w:t>созыва</w:t>
            </w:r>
          </w:p>
        </w:tc>
        <w:tc>
          <w:tcPr>
            <w:tcW w:w="4061" w:type="dxa"/>
            <w:vAlign w:val="center"/>
          </w:tcPr>
          <w:p w:rsidR="002C562D" w:rsidRPr="009D4178" w:rsidRDefault="002C562D" w:rsidP="004E04A9">
            <w:pPr>
              <w:widowControl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2C562D" w:rsidRPr="009D4178" w:rsidRDefault="002C562D" w:rsidP="004E04A9">
            <w:pPr>
              <w:widowControl/>
              <w:jc w:val="right"/>
              <w:rPr>
                <w:sz w:val="28"/>
                <w:szCs w:val="28"/>
                <w:lang w:val="ru-RU" w:eastAsia="ru-RU"/>
              </w:rPr>
            </w:pPr>
            <w:r w:rsidRPr="009D4178">
              <w:rPr>
                <w:sz w:val="28"/>
                <w:szCs w:val="28"/>
                <w:lang w:val="ru-RU" w:eastAsia="ru-RU"/>
              </w:rPr>
              <w:t>от 19 августа 2020 года</w:t>
            </w:r>
          </w:p>
        </w:tc>
      </w:tr>
    </w:tbl>
    <w:p w:rsidR="002C562D" w:rsidRPr="009D4178" w:rsidRDefault="002C562D" w:rsidP="002C562D">
      <w:pPr>
        <w:widowControl/>
        <w:jc w:val="both"/>
        <w:rPr>
          <w:b/>
          <w:sz w:val="28"/>
          <w:szCs w:val="28"/>
          <w:lang w:val="ru-RU" w:eastAsia="ru-RU"/>
        </w:rPr>
      </w:pPr>
      <w:r w:rsidRPr="009D4178">
        <w:rPr>
          <w:b/>
          <w:sz w:val="28"/>
          <w:szCs w:val="28"/>
          <w:lang w:val="ru-RU" w:eastAsia="ru-RU"/>
        </w:rPr>
        <w:t xml:space="preserve"> </w:t>
      </w:r>
    </w:p>
    <w:p w:rsidR="002C562D" w:rsidRPr="009D4178" w:rsidRDefault="002C562D" w:rsidP="002C562D">
      <w:pPr>
        <w:suppressAutoHyphens/>
        <w:autoSpaceDE w:val="0"/>
        <w:ind w:firstLine="540"/>
        <w:jc w:val="center"/>
        <w:rPr>
          <w:b/>
          <w:sz w:val="26"/>
          <w:szCs w:val="26"/>
          <w:lang w:val="ru-RU" w:eastAsia="zh-CN"/>
        </w:rPr>
      </w:pPr>
      <w:r w:rsidRPr="009D4178">
        <w:rPr>
          <w:b/>
          <w:sz w:val="26"/>
          <w:szCs w:val="26"/>
          <w:lang w:val="ru-RU" w:eastAsia="zh-CN"/>
        </w:rPr>
        <w:t xml:space="preserve">Об утверждении Положения об инвестиционной деятельности на территории </w:t>
      </w:r>
      <w:proofErr w:type="spellStart"/>
      <w:r w:rsidRPr="009D4178">
        <w:rPr>
          <w:b/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b/>
          <w:sz w:val="26"/>
          <w:szCs w:val="26"/>
          <w:lang w:val="ru-RU" w:eastAsia="zh-CN"/>
        </w:rPr>
        <w:t xml:space="preserve"> муниципального района</w:t>
      </w:r>
    </w:p>
    <w:p w:rsidR="002C562D" w:rsidRDefault="002C562D" w:rsidP="002C562D">
      <w:pPr>
        <w:suppressAutoHyphens/>
        <w:autoSpaceDE w:val="0"/>
        <w:jc w:val="both"/>
        <w:rPr>
          <w:sz w:val="26"/>
          <w:szCs w:val="26"/>
          <w:lang w:val="ru-RU" w:eastAsia="zh-CN"/>
        </w:rPr>
      </w:pPr>
    </w:p>
    <w:p w:rsidR="008E61CA" w:rsidRPr="009D4178" w:rsidRDefault="008E61CA" w:rsidP="002C562D">
      <w:pPr>
        <w:suppressAutoHyphens/>
        <w:autoSpaceDE w:val="0"/>
        <w:jc w:val="both"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 xml:space="preserve">В соответствии с Федеральным законом 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9D4178">
        <w:rPr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муниципального района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rFonts w:eastAsia="Arial Unicode MS"/>
          <w:b/>
          <w:bCs/>
          <w:color w:val="000000"/>
          <w:sz w:val="26"/>
          <w:szCs w:val="26"/>
          <w:lang w:val="ru-RU" w:eastAsia="ru-RU"/>
        </w:rPr>
      </w:pPr>
      <w:r w:rsidRPr="009D4178">
        <w:rPr>
          <w:rFonts w:eastAsia="Arial Unicode MS"/>
          <w:b/>
          <w:bCs/>
          <w:color w:val="000000"/>
          <w:sz w:val="26"/>
          <w:szCs w:val="26"/>
          <w:lang w:val="ru-RU" w:eastAsia="ru-RU"/>
        </w:rPr>
        <w:t xml:space="preserve">Собрание депутатов </w:t>
      </w:r>
      <w:proofErr w:type="spellStart"/>
      <w:r w:rsidRPr="009D4178">
        <w:rPr>
          <w:rFonts w:eastAsia="Arial Unicode MS"/>
          <w:b/>
          <w:bCs/>
          <w:color w:val="000000"/>
          <w:sz w:val="26"/>
          <w:szCs w:val="26"/>
          <w:lang w:val="ru-RU" w:eastAsia="ru-RU"/>
        </w:rPr>
        <w:t>Сернурского</w:t>
      </w:r>
      <w:proofErr w:type="spellEnd"/>
      <w:r w:rsidRPr="009D4178">
        <w:rPr>
          <w:rFonts w:eastAsia="Arial Unicode MS"/>
          <w:b/>
          <w:bCs/>
          <w:color w:val="000000"/>
          <w:sz w:val="26"/>
          <w:szCs w:val="26"/>
          <w:lang w:val="ru-RU" w:eastAsia="ru-RU"/>
        </w:rPr>
        <w:t xml:space="preserve"> муниципального района решает: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rFonts w:eastAsia="Arial Unicode MS"/>
          <w:bCs/>
          <w:color w:val="000000"/>
          <w:sz w:val="26"/>
          <w:szCs w:val="26"/>
          <w:lang w:val="ru-RU" w:eastAsia="ru-RU"/>
        </w:rPr>
      </w:pP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 xml:space="preserve">1. Утвердить Положение об инвестиционной деятельности на территории </w:t>
      </w:r>
      <w:proofErr w:type="spellStart"/>
      <w:r w:rsidRPr="009D4178">
        <w:rPr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муниципального района (прилагается).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>2. Признать утратившим силу решения Собрания депутатов муниципального образования «</w:t>
      </w:r>
      <w:proofErr w:type="spellStart"/>
      <w:r w:rsidRPr="009D4178">
        <w:rPr>
          <w:sz w:val="26"/>
          <w:szCs w:val="26"/>
          <w:lang w:val="ru-RU" w:eastAsia="zh-CN"/>
        </w:rPr>
        <w:t>Сернурский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муниципальный район»: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 xml:space="preserve">- от 27.09.2006 г. №189  «Об утверждении Положения об инвестиционной деятельности на территории </w:t>
      </w:r>
      <w:proofErr w:type="spellStart"/>
      <w:r w:rsidRPr="009D4178">
        <w:rPr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муниципального района»;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>- от 24.10.2007 г. №264   «О внесение изменений и дополнений в решение от 27.09.2006 г. №189 Собрания депутатов муниципального образования «</w:t>
      </w:r>
      <w:proofErr w:type="spellStart"/>
      <w:r w:rsidRPr="009D4178">
        <w:rPr>
          <w:sz w:val="26"/>
          <w:szCs w:val="26"/>
          <w:lang w:val="ru-RU" w:eastAsia="zh-CN"/>
        </w:rPr>
        <w:t>Сернурский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муниципальный район» «Об утверждении Положения об инвестиционной деятельности на территории </w:t>
      </w:r>
      <w:proofErr w:type="spellStart"/>
      <w:r w:rsidRPr="009D4178">
        <w:rPr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муниципального района».</w:t>
      </w:r>
    </w:p>
    <w:p w:rsidR="002C562D" w:rsidRPr="009D4178" w:rsidRDefault="002C562D" w:rsidP="002C562D">
      <w:pPr>
        <w:suppressAutoHyphens/>
        <w:autoSpaceDE w:val="0"/>
        <w:ind w:firstLine="540"/>
        <w:jc w:val="both"/>
        <w:rPr>
          <w:sz w:val="27"/>
          <w:szCs w:val="27"/>
          <w:lang w:val="ru-RU" w:eastAsia="zh-CN"/>
        </w:rPr>
      </w:pPr>
      <w:r w:rsidRPr="009D4178">
        <w:rPr>
          <w:sz w:val="27"/>
          <w:szCs w:val="27"/>
          <w:lang w:val="ru-RU" w:eastAsia="zh-CN"/>
        </w:rPr>
        <w:t xml:space="preserve">3. </w:t>
      </w:r>
      <w:r w:rsidRPr="009D4178">
        <w:rPr>
          <w:sz w:val="26"/>
          <w:szCs w:val="26"/>
          <w:lang w:val="ru-RU" w:eastAsia="ru-RU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2C562D" w:rsidRPr="009D4178" w:rsidRDefault="002C562D" w:rsidP="002C562D">
      <w:pPr>
        <w:widowControl/>
        <w:suppressAutoHyphens/>
        <w:jc w:val="both"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widowControl/>
        <w:suppressAutoHyphens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widowControl/>
        <w:suppressAutoHyphens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widowControl/>
        <w:suppressAutoHyphens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widowControl/>
        <w:suppressAutoHyphens/>
        <w:rPr>
          <w:sz w:val="26"/>
          <w:szCs w:val="26"/>
          <w:lang w:val="ru-RU" w:eastAsia="zh-CN"/>
        </w:rPr>
      </w:pPr>
      <w:r w:rsidRPr="009D4178">
        <w:rPr>
          <w:sz w:val="26"/>
          <w:szCs w:val="26"/>
          <w:lang w:val="ru-RU" w:eastAsia="zh-CN"/>
        </w:rPr>
        <w:t xml:space="preserve">Глава </w:t>
      </w:r>
    </w:p>
    <w:p w:rsidR="002C562D" w:rsidRPr="009D4178" w:rsidRDefault="002C562D" w:rsidP="002C562D">
      <w:pPr>
        <w:widowControl/>
        <w:suppressAutoHyphens/>
        <w:rPr>
          <w:sz w:val="26"/>
          <w:szCs w:val="26"/>
          <w:lang w:val="ru-RU" w:eastAsia="zh-CN"/>
        </w:rPr>
      </w:pPr>
      <w:proofErr w:type="spellStart"/>
      <w:r w:rsidRPr="009D4178">
        <w:rPr>
          <w:sz w:val="26"/>
          <w:szCs w:val="26"/>
          <w:lang w:val="ru-RU" w:eastAsia="zh-CN"/>
        </w:rPr>
        <w:t>Сернурского</w:t>
      </w:r>
      <w:proofErr w:type="spellEnd"/>
      <w:r w:rsidRPr="009D4178">
        <w:rPr>
          <w:sz w:val="26"/>
          <w:szCs w:val="26"/>
          <w:lang w:val="ru-RU" w:eastAsia="zh-CN"/>
        </w:rPr>
        <w:t xml:space="preserve"> муниципального района                                       </w:t>
      </w:r>
      <w:proofErr w:type="spellStart"/>
      <w:r w:rsidRPr="009D4178">
        <w:rPr>
          <w:sz w:val="26"/>
          <w:szCs w:val="26"/>
          <w:lang w:val="ru-RU" w:eastAsia="zh-CN"/>
        </w:rPr>
        <w:t>Адиганов</w:t>
      </w:r>
      <w:proofErr w:type="spellEnd"/>
      <w:r w:rsidRPr="009D4178">
        <w:rPr>
          <w:sz w:val="26"/>
          <w:szCs w:val="26"/>
          <w:lang w:val="ru-RU" w:eastAsia="zh-CN"/>
        </w:rPr>
        <w:t xml:space="preserve"> С.Л.</w:t>
      </w:r>
    </w:p>
    <w:p w:rsidR="002C562D" w:rsidRPr="009D4178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left="5040"/>
        <w:jc w:val="center"/>
        <w:rPr>
          <w:sz w:val="24"/>
          <w:szCs w:val="24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left="5040"/>
        <w:jc w:val="center"/>
        <w:rPr>
          <w:sz w:val="24"/>
          <w:szCs w:val="24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left="5040"/>
        <w:jc w:val="center"/>
        <w:rPr>
          <w:sz w:val="24"/>
          <w:szCs w:val="24"/>
          <w:lang w:val="ru-RU" w:eastAsia="zh-CN"/>
        </w:rPr>
      </w:pPr>
    </w:p>
    <w:p w:rsidR="002C562D" w:rsidRPr="009D4178" w:rsidRDefault="002C562D" w:rsidP="002C562D">
      <w:pPr>
        <w:suppressAutoHyphens/>
        <w:autoSpaceDE w:val="0"/>
        <w:ind w:left="5040"/>
        <w:jc w:val="center"/>
        <w:rPr>
          <w:sz w:val="24"/>
          <w:szCs w:val="24"/>
          <w:lang w:val="ru-RU" w:eastAsia="zh-CN"/>
        </w:rPr>
      </w:pPr>
    </w:p>
    <w:p w:rsidR="002C562D" w:rsidRDefault="002C562D" w:rsidP="002C562D">
      <w:pPr>
        <w:suppressAutoHyphens/>
        <w:autoSpaceDE w:val="0"/>
        <w:rPr>
          <w:sz w:val="24"/>
          <w:szCs w:val="24"/>
          <w:lang w:val="ru-RU" w:eastAsia="zh-CN"/>
        </w:rPr>
      </w:pPr>
    </w:p>
    <w:p w:rsidR="008E61CA" w:rsidRDefault="008E61CA" w:rsidP="002C562D">
      <w:pPr>
        <w:suppressAutoHyphens/>
        <w:autoSpaceDE w:val="0"/>
        <w:rPr>
          <w:sz w:val="24"/>
          <w:szCs w:val="24"/>
          <w:lang w:val="ru-RU" w:eastAsia="zh-CN"/>
        </w:rPr>
      </w:pPr>
    </w:p>
    <w:p w:rsidR="008E61CA" w:rsidRDefault="008E61CA" w:rsidP="002C562D">
      <w:pPr>
        <w:suppressAutoHyphens/>
        <w:autoSpaceDE w:val="0"/>
        <w:rPr>
          <w:sz w:val="24"/>
          <w:szCs w:val="24"/>
          <w:lang w:val="ru-RU" w:eastAsia="zh-CN"/>
        </w:rPr>
      </w:pPr>
      <w:bookmarkStart w:id="0" w:name="_GoBack"/>
      <w:bookmarkEnd w:id="0"/>
    </w:p>
    <w:p w:rsidR="002C562D" w:rsidRDefault="002C562D" w:rsidP="002C562D">
      <w:pPr>
        <w:suppressAutoHyphens/>
        <w:autoSpaceDE w:val="0"/>
        <w:ind w:left="5040"/>
        <w:jc w:val="center"/>
        <w:rPr>
          <w:sz w:val="24"/>
          <w:szCs w:val="24"/>
          <w:lang w:val="ru-RU" w:eastAsia="zh-CN"/>
        </w:rPr>
      </w:pPr>
    </w:p>
    <w:p w:rsidR="002C562D" w:rsidRPr="002C562D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  <w:r w:rsidRPr="002C562D">
        <w:rPr>
          <w:sz w:val="26"/>
          <w:szCs w:val="26"/>
          <w:lang w:val="ru-RU" w:eastAsia="zh-CN"/>
        </w:rPr>
        <w:lastRenderedPageBreak/>
        <w:t>Приложение</w:t>
      </w:r>
    </w:p>
    <w:p w:rsidR="002C562D" w:rsidRPr="002C562D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  <w:r w:rsidRPr="002C562D">
        <w:rPr>
          <w:sz w:val="26"/>
          <w:szCs w:val="26"/>
          <w:lang w:val="ru-RU" w:eastAsia="zh-CN"/>
        </w:rPr>
        <w:t>к решению Собрания депутатов</w:t>
      </w:r>
    </w:p>
    <w:p w:rsidR="002C562D" w:rsidRPr="002C562D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  <w:proofErr w:type="spellStart"/>
      <w:r w:rsidRPr="002C562D">
        <w:rPr>
          <w:sz w:val="26"/>
          <w:szCs w:val="26"/>
          <w:lang w:val="ru-RU" w:eastAsia="zh-CN"/>
        </w:rPr>
        <w:t>Сернурского</w:t>
      </w:r>
      <w:proofErr w:type="spellEnd"/>
      <w:r w:rsidRPr="002C562D">
        <w:rPr>
          <w:sz w:val="26"/>
          <w:szCs w:val="26"/>
          <w:lang w:val="ru-RU" w:eastAsia="zh-CN"/>
        </w:rPr>
        <w:t xml:space="preserve"> муниципального района</w:t>
      </w:r>
    </w:p>
    <w:p w:rsidR="002C562D" w:rsidRPr="002C562D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  <w:r w:rsidRPr="002C562D">
        <w:rPr>
          <w:sz w:val="26"/>
          <w:szCs w:val="26"/>
          <w:lang w:val="ru-RU" w:eastAsia="zh-CN"/>
        </w:rPr>
        <w:t>от  19 августа 2020 г. № 97</w:t>
      </w:r>
    </w:p>
    <w:p w:rsidR="002C562D" w:rsidRPr="002C562D" w:rsidRDefault="002C562D" w:rsidP="002C562D">
      <w:pPr>
        <w:suppressAutoHyphens/>
        <w:autoSpaceDE w:val="0"/>
        <w:ind w:left="5040"/>
        <w:jc w:val="center"/>
        <w:rPr>
          <w:sz w:val="26"/>
          <w:szCs w:val="26"/>
          <w:lang w:val="ru-RU" w:eastAsia="zh-CN"/>
        </w:rPr>
      </w:pP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bookmarkStart w:id="1" w:name="Par37"/>
      <w:bookmarkEnd w:id="1"/>
      <w:r w:rsidRPr="002C562D">
        <w:rPr>
          <w:color w:val="000000"/>
          <w:sz w:val="26"/>
          <w:szCs w:val="26"/>
          <w:lang w:val="ru-RU" w:eastAsia="ru-RU"/>
        </w:rPr>
        <w:t xml:space="preserve">Настоящее Положение определяет правовые и экономические основы инвестиционной деятельности на территории района и направлено на обеспечение гарантии равной защиты прав, интересов и имущества субъектов инвестиционной деятельности, </w:t>
      </w:r>
      <w:r w:rsidRPr="002C562D">
        <w:rPr>
          <w:sz w:val="26"/>
          <w:szCs w:val="26"/>
          <w:lang w:val="ru-RU" w:eastAsia="ru-RU"/>
        </w:rPr>
        <w:t>осуществляемой в форме капитальных вложений, независимо от форм собственности.</w:t>
      </w:r>
    </w:p>
    <w:p w:rsid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proofErr w:type="gramStart"/>
      <w:r w:rsidRPr="002C562D">
        <w:rPr>
          <w:sz w:val="26"/>
          <w:szCs w:val="26"/>
          <w:lang w:val="ru-RU" w:eastAsia="ru-RU"/>
        </w:rPr>
        <w:t xml:space="preserve">Положение об инвестиционной деятельности, осуществляемой в форме капитальных вложений, основывается на соответствующих положениях </w:t>
      </w:r>
      <w:hyperlink r:id="rId7" w:history="1">
        <w:r w:rsidRPr="002C562D">
          <w:rPr>
            <w:color w:val="0000FF"/>
            <w:sz w:val="26"/>
            <w:szCs w:val="26"/>
            <w:u w:val="single"/>
            <w:lang w:val="ru-RU" w:eastAsia="ru-RU"/>
          </w:rPr>
          <w:t>Конституции Российской Федерации</w:t>
        </w:r>
      </w:hyperlink>
      <w:r w:rsidRPr="002C562D">
        <w:rPr>
          <w:sz w:val="26"/>
          <w:szCs w:val="26"/>
          <w:lang w:val="ru-RU" w:eastAsia="ru-RU"/>
        </w:rPr>
        <w:t xml:space="preserve">, </w:t>
      </w:r>
      <w:hyperlink r:id="rId8" w:history="1">
        <w:r w:rsidRPr="002C562D">
          <w:rPr>
            <w:color w:val="0000FF"/>
            <w:sz w:val="26"/>
            <w:szCs w:val="26"/>
            <w:u w:val="single"/>
            <w:lang w:val="ru-RU" w:eastAsia="ru-RU"/>
          </w:rPr>
          <w:t>Федерального закона от 25 февраля 1999 года N 39-ФЗ "Об инвестиционной деятельности в Российской Федерации, осуществляемой в форме капитальных вложений"</w:t>
        </w:r>
      </w:hyperlink>
      <w:r w:rsidRPr="002C562D">
        <w:rPr>
          <w:sz w:val="26"/>
          <w:szCs w:val="26"/>
          <w:lang w:val="ru-RU" w:eastAsia="ru-RU"/>
        </w:rPr>
        <w:t>, других федеральных законов и иных нормативных правовых актов Российской Федерации, Закона Республики Марий Эл от 21 марта 2012 года N 17-З «Об инвестиционной деятельности</w:t>
      </w:r>
      <w:proofErr w:type="gramEnd"/>
      <w:r w:rsidRPr="002C562D">
        <w:rPr>
          <w:sz w:val="26"/>
          <w:szCs w:val="26"/>
          <w:lang w:val="ru-RU" w:eastAsia="ru-RU"/>
        </w:rPr>
        <w:t xml:space="preserve"> в Республике Марий Эл, осуществляемой в форме капитальных вложений» и иных нормативных правовых актов Республики Марий Эл в области осуществления инвестиционной деятельност</w:t>
      </w:r>
      <w:r>
        <w:rPr>
          <w:sz w:val="26"/>
          <w:szCs w:val="26"/>
          <w:lang w:val="ru-RU" w:eastAsia="ru-RU"/>
        </w:rPr>
        <w:t>и в форме капитальных вложений.</w:t>
      </w:r>
    </w:p>
    <w:p w:rsidR="002C562D" w:rsidRPr="002C562D" w:rsidRDefault="002C562D" w:rsidP="002C562D">
      <w:pPr>
        <w:widowControl/>
        <w:ind w:firstLine="567"/>
        <w:jc w:val="center"/>
        <w:rPr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Глава 1. Общие положения</w:t>
      </w:r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Статья 1. Основные понятия</w:t>
      </w:r>
    </w:p>
    <w:p w:rsidR="002C562D" w:rsidRPr="002C562D" w:rsidRDefault="002C562D" w:rsidP="002C562D">
      <w:pPr>
        <w:widowControl/>
        <w:ind w:firstLine="567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>Для целей настоящего Положения используются следующие основные понятия: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приоритетный инвестиционный проект - инвестиционный проект, суммарный объем капитальных </w:t>
      </w:r>
      <w:proofErr w:type="gramStart"/>
      <w:r w:rsidRPr="002C562D">
        <w:rPr>
          <w:sz w:val="26"/>
          <w:szCs w:val="26"/>
          <w:lang w:val="ru-RU" w:eastAsia="ru-RU"/>
        </w:rPr>
        <w:t>вложений</w:t>
      </w:r>
      <w:proofErr w:type="gramEnd"/>
      <w:r w:rsidRPr="002C562D">
        <w:rPr>
          <w:sz w:val="26"/>
          <w:szCs w:val="26"/>
          <w:lang w:val="ru-RU" w:eastAsia="ru-RU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proofErr w:type="gramStart"/>
      <w:r w:rsidRPr="002C562D">
        <w:rPr>
          <w:sz w:val="26"/>
          <w:szCs w:val="26"/>
          <w:lang w:val="ru-RU" w:eastAsia="ru-RU"/>
        </w:rPr>
        <w:t xml:space="preserve"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</w:t>
      </w:r>
      <w:r w:rsidRPr="002C562D">
        <w:rPr>
          <w:sz w:val="26"/>
          <w:szCs w:val="26"/>
          <w:lang w:val="ru-RU" w:eastAsia="ru-RU"/>
        </w:rPr>
        <w:lastRenderedPageBreak/>
        <w:t>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проекта;</w:t>
      </w:r>
      <w:proofErr w:type="gramEnd"/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заказчики - уполномоченные на то инвесторами физические и юридические лица, которые осуществляют реализацию инвестиционных проектов;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proofErr w:type="gramStart"/>
      <w:r w:rsidRPr="002C562D">
        <w:rPr>
          <w:sz w:val="26"/>
          <w:szCs w:val="26"/>
          <w:lang w:val="ru-RU" w:eastAsia="ru-RU"/>
        </w:rPr>
        <w:t xml:space="preserve">подрядчики -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кодексом Российской Федерации. </w:t>
      </w:r>
      <w:proofErr w:type="gramEnd"/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>Статья 2. Объекты</w:t>
      </w:r>
      <w:r w:rsidRPr="002C562D">
        <w:rPr>
          <w:b/>
          <w:color w:val="000000"/>
          <w:sz w:val="26"/>
          <w:szCs w:val="26"/>
          <w:lang w:val="ru-RU" w:eastAsia="ru-RU"/>
        </w:rPr>
        <w:t xml:space="preserve"> инвестиционной деятельности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 xml:space="preserve">1. </w:t>
      </w:r>
      <w:proofErr w:type="gramStart"/>
      <w:r w:rsidRPr="002C562D">
        <w:rPr>
          <w:color w:val="000000"/>
          <w:sz w:val="26"/>
          <w:szCs w:val="26"/>
          <w:lang w:val="ru-RU" w:eastAsia="ru-RU"/>
        </w:rPr>
        <w:t xml:space="preserve">Объектами инвестиционной деятельности являются находящиеся в частной, государственной, муниципальной и иных формах собственности различные виды вновь создаваемого и модернизируемого имущества, </w:t>
      </w:r>
      <w:r w:rsidRPr="002C562D">
        <w:rPr>
          <w:sz w:val="26"/>
          <w:szCs w:val="26"/>
          <w:lang w:val="ru-RU" w:eastAsia="ru-RU"/>
        </w:rPr>
        <w:t>за изъятиями, устанавливаемыми федеральными законами</w:t>
      </w:r>
      <w:r w:rsidRPr="002C562D">
        <w:rPr>
          <w:color w:val="000000"/>
          <w:sz w:val="26"/>
          <w:szCs w:val="26"/>
          <w:lang w:val="ru-RU" w:eastAsia="ru-RU"/>
        </w:rPr>
        <w:t xml:space="preserve">. </w:t>
      </w:r>
      <w:proofErr w:type="gramEnd"/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2. Запрещается инвестирование в объекты, создание и использование которых не соответствуют требованиям законодательства Российской Федерации.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3. </w:t>
      </w:r>
      <w:proofErr w:type="gramStart"/>
      <w:r w:rsidRPr="002C562D">
        <w:rPr>
          <w:sz w:val="26"/>
          <w:szCs w:val="26"/>
          <w:lang w:val="ru-RU" w:eastAsia="ru-RU"/>
        </w:rPr>
        <w:t>Объект инвестиционной деятельности, строительство которого осуществляется с привлечением внебюджетных источников финансирования на земельном участке, находящемся в государственной или муниципальной собственности,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договора, признается долевой собственностью сторон данного договора</w:t>
      </w:r>
      <w:proofErr w:type="gramEnd"/>
      <w:r w:rsidRPr="002C562D">
        <w:rPr>
          <w:sz w:val="26"/>
          <w:szCs w:val="26"/>
          <w:lang w:val="ru-RU" w:eastAsia="ru-RU"/>
        </w:rPr>
        <w:t xml:space="preserve"> до момента государственной регистрации права собственности на этот объект в соответствии со статьей 24.2 Федерального закона от 21 июля 1997 года N 122-ФЗ "О государственной регистрации прав на недвижимое имущество и сделок с ним" с учетом распределения долей, предусмотренного данным договором.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Государственная регистрация права долевой собственности на эти незавершенные объекты инвестиционной деятельности не требуется.</w:t>
      </w:r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Статья 3. Субъекты инвестиционной деятельности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>1. Субъектами инвестиционной деятельности являются инвесторы, заказчики, подрядчики, пользователи объектов инвестиционной деятельности и другие участники инвестиционного процесса.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3.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lastRenderedPageBreak/>
        <w:t>4. Подрядчики - физические и юридические лица, которые выполняют работы по договору подряда или муниципальному контракту, заключаемому с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>5. Пользователи объектов инвестиционной деятельности - физические и юридические лица, в том числе иностранные, а также органы местного самоуправления, иностранные государства и международные организации, для которых создаются указанные объекты. Пользователями объектов инвестиционной деятельности могут быть инвесторы.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>6. Субъекты инвестиционной деятельности вправе совмещать функции двух и более участников инвестиционной деятельности, если иное не установлено договором (контрактом), заключаемым между ними.</w:t>
      </w:r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Глава 2. Осуществление инвестиционной деятельности</w:t>
      </w:r>
    </w:p>
    <w:p w:rsidR="002C562D" w:rsidRPr="002C562D" w:rsidRDefault="002C562D" w:rsidP="002C562D">
      <w:pPr>
        <w:widowControl/>
        <w:jc w:val="center"/>
        <w:rPr>
          <w:b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>Статья 4. Государственная поддержка инвестиционной деятельности, осуществляемой в форме капитальных вложений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Государственная поддержка инвестиционной деятельности, осуществляемой в форме капитальных вложений, предоставляется с использованием форм и методов государственного регулирования инвестиционной деятельности, осуществляемой в форме капитальных вложений, предусмотренных статьей 5 настоящего Положения, в целях: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1) повышения инвестиционной активности и привлечения инвестиций в развитие экономики и социальной сферы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2) освоения новых видов конкурентоспособной продукции, работ и услуг, модернизации производства;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3) внедрения </w:t>
      </w:r>
      <w:proofErr w:type="spellStart"/>
      <w:r w:rsidRPr="002C562D">
        <w:rPr>
          <w:sz w:val="26"/>
          <w:szCs w:val="26"/>
          <w:lang w:val="ru-RU" w:eastAsia="ru-RU"/>
        </w:rPr>
        <w:t>ресурсо</w:t>
      </w:r>
      <w:proofErr w:type="spellEnd"/>
      <w:r w:rsidRPr="002C562D">
        <w:rPr>
          <w:sz w:val="26"/>
          <w:szCs w:val="26"/>
          <w:lang w:val="ru-RU" w:eastAsia="ru-RU"/>
        </w:rPr>
        <w:t xml:space="preserve">- и энергосберегающих технологий;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4) повышения рентабельности действующих или вновь создаваемых производств;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5) осуществления природоохранных мероприятий;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6) совершенствования мер по улучшению условий безопасности труда;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7) опережающего развития наукоемких производств с использованием научного и технологического потенциала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8) создания новых рабочих мест;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9) создания инженерной инфраструктуры; 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10) приобретения основных фондов.</w:t>
      </w:r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Статья 4.1 Права инвесторов</w:t>
      </w:r>
    </w:p>
    <w:p w:rsidR="002C562D" w:rsidRPr="002C562D" w:rsidRDefault="002C562D" w:rsidP="002C562D">
      <w:pPr>
        <w:widowControl/>
        <w:tabs>
          <w:tab w:val="left" w:pos="142"/>
        </w:tabs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Инвесторы имеют равные права </w:t>
      </w:r>
      <w:proofErr w:type="gramStart"/>
      <w:r w:rsidRPr="002C562D">
        <w:rPr>
          <w:sz w:val="26"/>
          <w:szCs w:val="26"/>
          <w:lang w:val="ru-RU" w:eastAsia="ru-RU"/>
        </w:rPr>
        <w:t>на</w:t>
      </w:r>
      <w:proofErr w:type="gramEnd"/>
      <w:r w:rsidRPr="002C562D">
        <w:rPr>
          <w:sz w:val="26"/>
          <w:szCs w:val="26"/>
          <w:lang w:val="ru-RU" w:eastAsia="ru-RU"/>
        </w:rPr>
        <w:t>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2)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3) владение, пользование и распоряжение объектами капитальных вложений и результатами осуществленных капитальных вложений;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4) передачу по договору и (или) государственному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5) осуществление </w:t>
      </w:r>
      <w:proofErr w:type="gramStart"/>
      <w:r w:rsidRPr="002C562D">
        <w:rPr>
          <w:sz w:val="26"/>
          <w:szCs w:val="26"/>
          <w:lang w:val="ru-RU" w:eastAsia="ru-RU"/>
        </w:rPr>
        <w:t>контроля за</w:t>
      </w:r>
      <w:proofErr w:type="gramEnd"/>
      <w:r w:rsidRPr="002C562D">
        <w:rPr>
          <w:sz w:val="26"/>
          <w:szCs w:val="26"/>
          <w:lang w:val="ru-RU" w:eastAsia="ru-RU"/>
        </w:rPr>
        <w:t xml:space="preserve"> целевым использованием средств, направляемых на капитальные вложения;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lastRenderedPageBreak/>
        <w:t>6)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7) осуществление других прав, предусмотренных договором и (или) государственным контрактом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jc w:val="center"/>
        <w:rPr>
          <w:b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>Статья 4.2. Обязанности субъектов инвестиционной деятельности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Субъекты инвестиционной деятельности обязаны: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Марий Эл и иными нормативными правовыми актами Республики Марий Эл и органов местного самоуправления;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2) 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3) использовать средства, направляемые на капитальные вложения, по целевому назначению.</w:t>
      </w:r>
    </w:p>
    <w:p w:rsidR="002C562D" w:rsidRPr="002C562D" w:rsidRDefault="002C562D" w:rsidP="002C562D">
      <w:pPr>
        <w:widowControl/>
        <w:jc w:val="center"/>
        <w:rPr>
          <w:b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>Глава 3. Основы регулирования инвестиционной деятельности, осуществляемой в форме капитальных вложений</w:t>
      </w:r>
    </w:p>
    <w:p w:rsidR="002C562D" w:rsidRPr="002C562D" w:rsidRDefault="002C562D" w:rsidP="002C562D">
      <w:pPr>
        <w:widowControl/>
        <w:ind w:firstLine="567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 xml:space="preserve">Статья 5. </w:t>
      </w:r>
      <w:r w:rsidRPr="002C562D">
        <w:rPr>
          <w:b/>
          <w:sz w:val="26"/>
          <w:szCs w:val="26"/>
          <w:lang w:val="ru-RU" w:eastAsia="ru-RU"/>
        </w:rPr>
        <w:t>Формы и методы муниципального регулирования инвестиционной деятельности, осуществляемой в форме капитальных вложений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1. Регулирование муниципальным образованием инвестиционной деятельности, осуществляемой в форме капитальных вложений, предусматривает: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установления субъектам инвестиционной деятельности льгот по уплате местных налогов;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защиты интересов инвесторов;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проведения экспертизы инвестиционных проектов в соответствии с </w:t>
      </w:r>
      <w:hyperlink w:anchor="Par192" w:tooltip="Статья 14. Проверка эффективности инвестиционных проектов, финансируемых полностью или частично за счет средств федерального бюджета, бюджетов субъектов Российской Федерации, местных бюджетов, и достоверности их сметной стоимости" w:history="1">
        <w:r w:rsidRPr="002C562D">
          <w:rPr>
            <w:sz w:val="26"/>
            <w:szCs w:val="26"/>
            <w:lang w:val="ru-RU" w:eastAsia="ru-RU"/>
          </w:rPr>
          <w:t>законодательством</w:t>
        </w:r>
      </w:hyperlink>
      <w:r w:rsidRPr="002C562D">
        <w:rPr>
          <w:sz w:val="26"/>
          <w:szCs w:val="26"/>
          <w:lang w:val="ru-RU" w:eastAsia="ru-RU"/>
        </w:rPr>
        <w:t xml:space="preserve">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выпуска муниципальных займов в соответствии с законодательством Российской Федерации;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2.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бюджетов. Порядок предоставления муниципальных гарантий за счет средств </w:t>
      </w:r>
      <w:r w:rsidRPr="002C562D">
        <w:rPr>
          <w:sz w:val="26"/>
          <w:szCs w:val="26"/>
          <w:lang w:val="ru-RU" w:eastAsia="ru-RU"/>
        </w:rPr>
        <w:lastRenderedPageBreak/>
        <w:t>местных бюджетов утверждается представительным органом местного самоуправления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местными бюджетами. Контроль за целевым и эффективным использованием средств местных бюджетов, направляемых на капитальные вложения, осуществляют органы, уполномоченные представительными органами местного самоуправления.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5.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2C562D" w:rsidRPr="002C562D" w:rsidRDefault="002C562D" w:rsidP="002C562D">
      <w:pPr>
        <w:widowControl/>
        <w:ind w:firstLine="567"/>
        <w:jc w:val="center"/>
        <w:rPr>
          <w:b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>Статья 6. Муниципальные гарантии прав субъектов инвестиционной деятельности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Органы местного самоуправления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Республики Марий Эл и иными нормативными правовыми актами Республики Марий Эл гарантируют всем субъектам инвестиционной деятельности: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обеспечение равных прав при осуществлении инвестиционной деятельности;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гласность в обсуждении инвестиционных проектов;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>стабильность прав субъектов инвестиционной деятельности.</w:t>
      </w:r>
    </w:p>
    <w:p w:rsidR="002C562D" w:rsidRPr="002C562D" w:rsidRDefault="002C562D" w:rsidP="002C562D">
      <w:pPr>
        <w:widowControl/>
        <w:ind w:firstLine="567"/>
        <w:jc w:val="center"/>
        <w:rPr>
          <w:b/>
          <w:sz w:val="26"/>
          <w:szCs w:val="26"/>
          <w:lang w:val="ru-RU" w:eastAsia="ru-RU"/>
        </w:rPr>
      </w:pPr>
      <w:r w:rsidRPr="002C562D">
        <w:rPr>
          <w:b/>
          <w:sz w:val="26"/>
          <w:szCs w:val="26"/>
          <w:lang w:val="ru-RU" w:eastAsia="ru-RU"/>
        </w:rPr>
        <w:t xml:space="preserve">Статья 7. Проверка эффективности инвестиционных проектов, финансируемых полностью или частично за счет средств бюджета </w:t>
      </w:r>
      <w:proofErr w:type="spellStart"/>
      <w:r w:rsidRPr="002C562D">
        <w:rPr>
          <w:b/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b/>
          <w:sz w:val="26"/>
          <w:szCs w:val="26"/>
          <w:lang w:val="ru-RU" w:eastAsia="ru-RU"/>
        </w:rPr>
        <w:t xml:space="preserve"> муниципального района, и достоверности их сметной стоимости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1. Инвестиционные проекты, финансирование которых планируется осуществлять полностью или частично за счет средств бюджета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района, подлежат проверке на предмет эффективности использования направляемых на капитальные вложения средств бюджета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 в случаях и в порядке, которые установлены нормативными правовыми актами муниципального образования.</w:t>
      </w:r>
    </w:p>
    <w:p w:rsidR="002C562D" w:rsidRPr="002C562D" w:rsidRDefault="002C562D" w:rsidP="002C562D">
      <w:pPr>
        <w:widowControl/>
        <w:ind w:firstLine="567"/>
        <w:jc w:val="both"/>
        <w:rPr>
          <w:sz w:val="26"/>
          <w:szCs w:val="26"/>
          <w:lang w:val="ru-RU" w:eastAsia="ru-RU"/>
        </w:rPr>
      </w:pPr>
      <w:r w:rsidRPr="002C562D">
        <w:rPr>
          <w:sz w:val="26"/>
          <w:szCs w:val="26"/>
          <w:lang w:val="ru-RU" w:eastAsia="ru-RU"/>
        </w:rPr>
        <w:t xml:space="preserve">2. Сметная стоимость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района, подлежит проверке на предмет достоверности использования направляемых на капитальные вложения средств бюджета </w:t>
      </w:r>
      <w:proofErr w:type="spellStart"/>
      <w:r w:rsidRPr="002C562D">
        <w:rPr>
          <w:sz w:val="26"/>
          <w:szCs w:val="26"/>
          <w:lang w:val="ru-RU" w:eastAsia="ru-RU"/>
        </w:rPr>
        <w:t>Сернурского</w:t>
      </w:r>
      <w:proofErr w:type="spellEnd"/>
      <w:r w:rsidRPr="002C562D">
        <w:rPr>
          <w:sz w:val="26"/>
          <w:szCs w:val="26"/>
          <w:lang w:val="ru-RU" w:eastAsia="ru-RU"/>
        </w:rPr>
        <w:t xml:space="preserve"> муниципального района в порядке, установленном нормативными правовыми актами муниципального образования.</w:t>
      </w:r>
    </w:p>
    <w:p w:rsidR="002C562D" w:rsidRPr="002C562D" w:rsidRDefault="002C562D" w:rsidP="002C562D">
      <w:pPr>
        <w:widowControl/>
        <w:ind w:firstLine="514"/>
        <w:jc w:val="center"/>
        <w:rPr>
          <w:b/>
          <w:color w:val="000000"/>
          <w:sz w:val="26"/>
          <w:szCs w:val="26"/>
          <w:lang w:val="ru-RU" w:eastAsia="ru-RU"/>
        </w:rPr>
      </w:pPr>
      <w:r w:rsidRPr="002C562D">
        <w:rPr>
          <w:b/>
          <w:color w:val="000000"/>
          <w:sz w:val="26"/>
          <w:szCs w:val="26"/>
          <w:lang w:val="ru-RU" w:eastAsia="ru-RU"/>
        </w:rPr>
        <w:t>Статья 8. Заключительные положения</w:t>
      </w:r>
    </w:p>
    <w:p w:rsidR="002C562D" w:rsidRPr="002C562D" w:rsidRDefault="002C562D" w:rsidP="002C562D">
      <w:pPr>
        <w:widowControl/>
        <w:ind w:firstLine="514"/>
        <w:jc w:val="both"/>
        <w:rPr>
          <w:color w:val="000000"/>
          <w:sz w:val="26"/>
          <w:szCs w:val="26"/>
          <w:lang w:val="ru-RU" w:eastAsia="ru-RU"/>
        </w:rPr>
      </w:pPr>
      <w:r w:rsidRPr="002C562D">
        <w:rPr>
          <w:color w:val="000000"/>
          <w:sz w:val="26"/>
          <w:szCs w:val="26"/>
          <w:lang w:val="ru-RU" w:eastAsia="ru-RU"/>
        </w:rPr>
        <w:t>1. Настоящее Положение вступает в силу со дня его  официального опубликования (обнародования).</w:t>
      </w:r>
    </w:p>
    <w:p w:rsidR="002C562D" w:rsidRPr="002C562D" w:rsidRDefault="002C562D" w:rsidP="002C562D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7E649E" w:rsidRPr="002C562D" w:rsidRDefault="007E649E">
      <w:pPr>
        <w:rPr>
          <w:sz w:val="26"/>
          <w:szCs w:val="26"/>
          <w:lang w:val="ru-RU"/>
        </w:rPr>
      </w:pPr>
    </w:p>
    <w:sectPr w:rsidR="007E649E" w:rsidRPr="002C562D" w:rsidSect="008E61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6"/>
    <w:rsid w:val="00051213"/>
    <w:rsid w:val="000D2402"/>
    <w:rsid w:val="00120832"/>
    <w:rsid w:val="001C6607"/>
    <w:rsid w:val="00215313"/>
    <w:rsid w:val="002228EB"/>
    <w:rsid w:val="002C562D"/>
    <w:rsid w:val="00350CA7"/>
    <w:rsid w:val="00397BC5"/>
    <w:rsid w:val="0049603C"/>
    <w:rsid w:val="004B3DF6"/>
    <w:rsid w:val="0070750A"/>
    <w:rsid w:val="007773D6"/>
    <w:rsid w:val="007E649E"/>
    <w:rsid w:val="0082753C"/>
    <w:rsid w:val="00832E44"/>
    <w:rsid w:val="008C487F"/>
    <w:rsid w:val="008E61CA"/>
    <w:rsid w:val="009B004B"/>
    <w:rsid w:val="009C0FA6"/>
    <w:rsid w:val="00AB6D96"/>
    <w:rsid w:val="00B1431E"/>
    <w:rsid w:val="00D03E23"/>
    <w:rsid w:val="00D16363"/>
    <w:rsid w:val="00D2341A"/>
    <w:rsid w:val="00D81C22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2C562D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widowControl/>
      <w:ind w:firstLine="709"/>
      <w:contextualSpacing/>
      <w:jc w:val="both"/>
    </w:pPr>
    <w:rPr>
      <w:rFonts w:cstheme="minorBidi"/>
      <w:sz w:val="28"/>
      <w:szCs w:val="28"/>
      <w:lang w:val="ru-RU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widowControl/>
      <w:ind w:left="720"/>
      <w:contextualSpacing/>
    </w:pPr>
    <w:rPr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C56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C56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2C562D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widowControl/>
      <w:ind w:firstLine="709"/>
      <w:contextualSpacing/>
      <w:jc w:val="both"/>
    </w:pPr>
    <w:rPr>
      <w:rFonts w:cstheme="minorBidi"/>
      <w:sz w:val="28"/>
      <w:szCs w:val="28"/>
      <w:lang w:val="ru-RU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widowControl/>
      <w:ind w:left="720"/>
      <w:contextualSpacing/>
    </w:pPr>
    <w:rPr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C56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C56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7484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2020 год</_x041f__x0430__x043f__x043a__x0430_>
    <_x041e__x043f__x0438__x0441__x0430__x043d__x0438__x0435_ xmlns="6d7c22ec-c6a4-4777-88aa-bc3c76ac660e">Об утверждении Положения об инвестиционной деятельности на территории Сернурского муниципального района
</_x041e__x043f__x0438__x0441__x0430__x043d__x0438__x0435_>
    <_dlc_DocId xmlns="57504d04-691e-4fc4-8f09-4f19fdbe90f6">XXJ7TYMEEKJ2-2364-580</_dlc_DocId>
    <_dlc_DocIdUrl xmlns="57504d04-691e-4fc4-8f09-4f19fdbe90f6">
      <Url>https://vip.gov.mari.ru/sernur/_layouts/DocIdRedir.aspx?ID=XXJ7TYMEEKJ2-2364-580</Url>
      <Description>XXJ7TYMEEKJ2-2364-580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A6233-4AB4-4BEB-8D3A-88A8C0AA106C}"/>
</file>

<file path=customXml/itemProps2.xml><?xml version="1.0" encoding="utf-8"?>
<ds:datastoreItem xmlns:ds="http://schemas.openxmlformats.org/officeDocument/2006/customXml" ds:itemID="{3FAB518B-060E-44F2-998B-49C6A888D22E}"/>
</file>

<file path=customXml/itemProps3.xml><?xml version="1.0" encoding="utf-8"?>
<ds:datastoreItem xmlns:ds="http://schemas.openxmlformats.org/officeDocument/2006/customXml" ds:itemID="{F0BC2EE8-D8C4-4946-BF99-0C21F7093CBE}"/>
</file>

<file path=customXml/itemProps4.xml><?xml version="1.0" encoding="utf-8"?>
<ds:datastoreItem xmlns:ds="http://schemas.openxmlformats.org/officeDocument/2006/customXml" ds:itemID="{50318704-E6C3-45BD-A239-3F07CA47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19.08.2020 года №97</dc:title>
  <dc:subject/>
  <dc:creator>Admin</dc:creator>
  <cp:keywords/>
  <dc:description/>
  <cp:lastModifiedBy>Admin</cp:lastModifiedBy>
  <cp:revision>4</cp:revision>
  <cp:lastPrinted>2020-08-18T11:01:00Z</cp:lastPrinted>
  <dcterms:created xsi:type="dcterms:W3CDTF">2020-08-18T05:24:00Z</dcterms:created>
  <dcterms:modified xsi:type="dcterms:W3CDTF">2020-08-18T11:03:00Z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74f527b1-171b-4b82-ad6f-343854b50f24</vt:lpwstr>
  </property>
</Properties>
</file>