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left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УГЛУБЛЁННАЯ ДИСПАНСЕРИЗАЦИЯ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Углубленная диспансеризация направлена на выявление и профилактику осложнений после перенесённой новой коронавирусной инфекции COVID-19 и состоит из двух этапов.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b/>
          <w:bCs/>
          <w:color w:val="000000"/>
          <w:sz w:val="20"/>
          <w:szCs w:val="20"/>
        </w:rPr>
        <w:t>ПЕРВЫЙ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 xml:space="preserve"> ЭТАП углубленной диспансеризации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 включает в себя: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1. Общий анализ крови;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2. Биохимический анализ крови (исследование уровня холестерина, уровня липопротеинов низкой плотности, С-реактивного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3. Измерение сатурации;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4. Спирометрию (оценка функционального состояния дыхательной системы);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5. Определение концентрации Д-димера (биохимический маркер свертываемости крови) - для граждан, перенесших новую коронавирусную инфекцию в средней и тяжелой форме (пневмония);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6. Рентгенографию органов грудной клетки;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7. Тест с 6-минутной ходьбой (выявление возможных проблем в работе сердца и легких) - проводится при наличии одышки / отеков;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По результатам первого этапа врачи определят риски и возможные признаки развития хронических заболеваний, при необходимости, для уточнения диагноза направят пациента на второй этап.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ВТОРОЙ 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 xml:space="preserve"> ЭТАП углубленной диспансеризации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проводится по ПОКАЗАНИЯМ и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включает в себя: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1. Эхокардиографию (в случае показателя сатурации в покое 94% и ниже, а также по результатам проведения теста с 6 минутной ходьбой);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2. Компьютерную томографию легких (в случае показателя сатурации в покое 94% и ниже, а также по результатам проведения теста с 6 минутной ходьбой);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3. Дуплексное сканирование вен нижних конечностей (при наличии показаний по результатам определения концентрации Д-димера в крови).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Если по результатам диспансеризации у пациента выявляются хронические заболевания или риски их возникновения, то ему будет проведено лечение и назначена медицинская реабилитация.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Кто может пройти углубленную диспансеризацию?</w:t>
      </w:r>
      <w:r>
        <w:rPr>
          <w:rFonts w:cs="Arial" w:ascii="Arial" w:hAnsi="Arial"/>
          <w:b/>
          <w:bCs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Граждане, перенесшие новую коронавирусную инфекцию COV1D-19, имеющие документальное подтверждение медицинской организации, прикрепленные к ГБУЗ РК «Ухтинская городская поликлиника».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ВНИМАНИЕ: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 После перенесенного заболевания должно пройти не менее 60 дней (с момента выздоровления)!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Как записаться?</w:t>
      </w:r>
    </w:p>
    <w:p>
      <w:pPr>
        <w:pStyle w:val="Normal"/>
        <w:spacing w:before="0" w:after="0"/>
        <w:rPr>
          <w:rFonts w:ascii="Arial" w:hAnsi="Arial" w:cs="Arial"/>
          <w:color w:val="000000"/>
          <w:sz w:val="20"/>
          <w:szCs w:val="20"/>
          <w:highlight w:val="white"/>
        </w:rPr>
      </w:pPr>
      <w:bookmarkStart w:id="0" w:name="_GoBack"/>
      <w:bookmarkEnd w:id="0"/>
      <w:r>
        <w:rPr>
          <w:rFonts w:cs="Arial" w:ascii="Arial" w:hAnsi="Arial"/>
          <w:color w:val="000000"/>
          <w:sz w:val="20"/>
          <w:szCs w:val="20"/>
          <w:shd w:fill="FFFFFF" w:val="clear"/>
        </w:rPr>
        <w:t>Записаться на диспансеризацию можно следующими способами:</w:t>
        <w:br/>
        <w:t xml:space="preserve">- по телефону единого контакт-центра </w:t>
      </w:r>
      <w:r>
        <w:rPr>
          <w:rFonts w:eastAsia="Arial" w:cs="Arial" w:ascii="Arial" w:hAnsi="Arial"/>
          <w:color w:val="000000"/>
          <w:sz w:val="20"/>
          <w:szCs w:val="20"/>
          <w:shd w:fill="FFFFFF" w:val="clear"/>
        </w:rPr>
        <w:t>46-89-82 с 08.00 до 18.00 по будням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br/>
        <w:t>- лично обратившись в регистратуру ГБУ РМЭ "Поликлиника №2 г. Йошкар- Олы" (ул.Советская, д.56)</w:t>
      </w:r>
    </w:p>
    <w:p>
      <w:pPr>
        <w:pStyle w:val="Normal"/>
        <w:spacing w:before="0" w:after="0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  <w:t>-  через личный кабинет портала "Госуслуги"</w:t>
      </w:r>
    </w:p>
    <w:p>
      <w:pPr>
        <w:pStyle w:val="Normal"/>
        <w:spacing w:before="0" w:after="0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e1b9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e1b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LibreOffice/6.4.1.2$Linux_X86_64 LibreOffice_project/40$Build-2</Application>
  <Pages>2</Pages>
  <Words>313</Words>
  <Characters>2197</Characters>
  <CharactersWithSpaces>2528</CharactersWithSpaces>
  <Paragraphs>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dc:description/>
  <dc:language>ru-RU</dc:language>
  <cp:lastModifiedBy/>
  <dcterms:modified xsi:type="dcterms:W3CDTF">2023-01-16T08:48:15Z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