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259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55B67">
        <w:rPr>
          <w:sz w:val="26"/>
          <w:szCs w:val="26"/>
        </w:rPr>
        <w:t>12:08:0130101:63, местоположение установлено относительно ориентира, расположенного в границах земельного  участка. Почтовый адрес ориентира: Республика Марий Эл, р-н Советский, возле д. Семейкино, в качестве его правообладателя выявлен Воронцов Иван Леонтьевич</w:t>
      </w:r>
      <w:r w:rsidR="001E6F9C" w:rsidRPr="00925922">
        <w:rPr>
          <w:sz w:val="28"/>
          <w:szCs w:val="28"/>
        </w:rPr>
        <w:t>.</w:t>
      </w:r>
    </w:p>
    <w:p w:rsidR="00B87E1F" w:rsidRPr="009259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259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259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1E76DF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55B67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2023-01-24T07:29:00Z</dcterms:modified>
</cp:coreProperties>
</file>