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86" w:type="dxa"/>
        <w:jc w:val="left"/>
        <w:tblInd w:w="-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747"/>
        <w:gridCol w:w="1559"/>
        <w:gridCol w:w="1560"/>
        <w:gridCol w:w="3120"/>
      </w:tblGrid>
      <w:tr>
        <w:trPr>
          <w:trHeight w:val="1140" w:hRule="atLeast"/>
        </w:trPr>
        <w:tc>
          <w:tcPr>
            <w:tcW w:w="2747" w:type="dxa"/>
            <w:tcBorders/>
            <w:shd w:fill="auto" w:val="clear"/>
          </w:tcPr>
          <w:p>
            <w:pPr>
              <w:pStyle w:val="Style26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3119" w:type="dxa"/>
            <w:gridSpan w:val="2"/>
            <w:tcBorders/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591820" cy="64833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7" t="-42" r="-47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Style26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 ФЕДЕРАЦИЙ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МАРИЙ ЭЛ РЕСПУБЛИКА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  <w:t>РЕСПУБЛИКА МАРИЙ ЭЛ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Марий эл республикысе       советский муниципал районын советский ола шотан илемысе   депутат погынжо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собрание депутатов</w:t>
            </w:r>
          </w:p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городского поселения советский советского муниципального района республики марий эл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lang w:eastAsia="ar-SA" w:bidi="ar-SA"/>
              </w:rPr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ПУНЧАЛ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РЕШЕНИЕ</w:t>
            </w:r>
          </w:p>
        </w:tc>
      </w:tr>
    </w:tbl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</w:t>
      </w:r>
    </w:p>
    <w:tbl>
      <w:tblPr>
        <w:tblW w:w="9283" w:type="dxa"/>
        <w:jc w:val="left"/>
        <w:tblInd w:w="71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605"/>
        <w:gridCol w:w="4677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Style26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>
            <w:pPr>
              <w:pStyle w:val="Style26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__________</w:t>
            </w:r>
            <w:r>
              <w:rPr>
                <w:b/>
                <w:bCs/>
                <w:sz w:val="28"/>
                <w:szCs w:val="28"/>
              </w:rPr>
              <w:t xml:space="preserve"> сессия</w:t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четвертого созыва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От «___________» 2023 г.</w:t>
            </w:r>
          </w:p>
          <w:p>
            <w:pPr>
              <w:pStyle w:val="Style26"/>
              <w:jc w:val="center"/>
              <w:rPr>
                <w:rFonts w:eastAsia="Times New Roman" w:cs="Times New Roman"/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______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перерасчете размеров пенсий за выслугу лет лицам,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замещавшим должности муниципальной службы в органах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местного самоуправления </w:t>
      </w:r>
      <w:r>
        <w:rPr>
          <w:rFonts w:ascii="Times New Roman" w:hAnsi="Times New Roman"/>
          <w:b/>
          <w:bCs/>
          <w:sz w:val="28"/>
          <w:szCs w:val="28"/>
        </w:rPr>
        <w:t>городского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 поселения </w:t>
      </w:r>
      <w:r>
        <w:rPr>
          <w:rFonts w:ascii="Times New Roman" w:hAnsi="Times New Roman"/>
          <w:b/>
          <w:bCs/>
          <w:sz w:val="28"/>
          <w:szCs w:val="28"/>
        </w:rPr>
        <w:t xml:space="preserve">Советский </w:t>
      </w:r>
      <w:r>
        <w:rPr>
          <w:rFonts w:ascii="Times New Roman" w:hAnsi="Times New Roman"/>
          <w:b/>
          <w:bCs/>
          <w:sz w:val="28"/>
          <w:szCs w:val="28"/>
        </w:rPr>
        <w:t xml:space="preserve">Советского муниципального района Республики Марий Эл, утвержденное решением Собрания депутатов </w:t>
      </w: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 «Городское поселение Советский»</w:t>
      </w:r>
      <w:r>
        <w:rPr>
          <w:rFonts w:ascii="Times New Roman" w:hAnsi="Times New Roman"/>
          <w:b/>
          <w:bCs/>
          <w:sz w:val="28"/>
          <w:szCs w:val="28"/>
        </w:rPr>
        <w:t xml:space="preserve">  от </w:t>
      </w:r>
      <w:r>
        <w:rPr>
          <w:rFonts w:ascii="Times New Roman" w:hAnsi="Times New Roman"/>
          <w:b/>
          <w:bCs/>
          <w:sz w:val="28"/>
          <w:szCs w:val="28"/>
        </w:rPr>
        <w:t>30.04.2013 г. № 212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</w:r>
      <w:r>
        <w:rPr>
          <w:rFonts w:eastAsia="Calibri" w:ascii="Times New Roman" w:hAnsi="Times New Roman"/>
          <w:b w:val="false"/>
          <w:bCs w:val="false"/>
          <w:sz w:val="28"/>
          <w:szCs w:val="28"/>
        </w:rPr>
        <w:t xml:space="preserve">В соответствии со статьей 25Федерального закона от 15 декабря 2001 года № 166-ФЗ «О государственном пенсионном обеспечении в Российской Федерации», в связи с повышением денежного содержания лиц, замещающих должности муниципальной службы в органах местного самоуправления </w:t>
      </w:r>
      <w:r>
        <w:rPr>
          <w:rFonts w:eastAsia="Calibri" w:ascii="Times New Roman" w:hAnsi="Times New Roman"/>
          <w:b w:val="false"/>
          <w:bCs w:val="false"/>
          <w:sz w:val="28"/>
          <w:szCs w:val="28"/>
        </w:rPr>
        <w:t xml:space="preserve">городского </w:t>
      </w:r>
      <w:r>
        <w:rPr>
          <w:rFonts w:eastAsia="Calibri" w:ascii="Times New Roman" w:hAnsi="Times New Roman"/>
          <w:b w:val="false"/>
          <w:bCs w:val="false"/>
          <w:sz w:val="28"/>
          <w:szCs w:val="28"/>
        </w:rPr>
        <w:t xml:space="preserve"> поселения </w:t>
      </w:r>
      <w:r>
        <w:rPr>
          <w:rFonts w:eastAsia="Calibri" w:ascii="Times New Roman" w:hAnsi="Times New Roman"/>
          <w:b w:val="false"/>
          <w:bCs w:val="false"/>
          <w:sz w:val="28"/>
          <w:szCs w:val="28"/>
        </w:rPr>
        <w:t>Советский</w:t>
      </w:r>
      <w:r>
        <w:rPr>
          <w:rFonts w:eastAsia="Calibri" w:ascii="Times New Roman" w:hAnsi="Times New Roman"/>
          <w:b w:val="false"/>
          <w:bCs w:val="false"/>
          <w:sz w:val="28"/>
          <w:szCs w:val="28"/>
        </w:rPr>
        <w:t xml:space="preserve"> Советского муниципального района Республики Марий Эл, в целях увеличения размеров пенсий за выслугу лет отдельных категорий граждан,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b w:val="false"/>
          <w:bCs w:val="false"/>
          <w:sz w:val="28"/>
          <w:szCs w:val="28"/>
        </w:rPr>
        <w:t>городского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поселения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Советский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Советского </w:t>
      </w:r>
      <w:r>
        <w:rPr>
          <w:rFonts w:eastAsia="Calibri" w:ascii="Times New Roman" w:hAnsi="Times New Roman"/>
          <w:b w:val="false"/>
          <w:bCs w:val="false"/>
          <w:sz w:val="28"/>
          <w:szCs w:val="28"/>
        </w:rPr>
        <w:t xml:space="preserve">муниципального района Республики Марий Эл </w:t>
      </w:r>
      <w:r>
        <w:rPr>
          <w:rFonts w:ascii="Times New Roman" w:hAnsi="Times New Roman"/>
          <w:b w:val="false"/>
          <w:bCs w:val="false"/>
          <w:sz w:val="28"/>
          <w:szCs w:val="28"/>
        </w:rPr>
        <w:t>р е ш и л о:</w:t>
      </w:r>
    </w:p>
    <w:p>
      <w:pPr>
        <w:pStyle w:val="Normal"/>
        <w:ind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Calibri" w:ascii="Times New Roman" w:hAnsi="Times New Roman"/>
          <w:b w:val="false"/>
          <w:bCs w:val="false"/>
          <w:sz w:val="28"/>
          <w:szCs w:val="28"/>
        </w:rPr>
        <w:t xml:space="preserve">1. Произвести перерасчет размеров ранее назначенных пенсий за выслугу лет лицам, замещавшим должности муниципальной службы в органах местного самоуправления </w:t>
      </w:r>
      <w:r>
        <w:rPr>
          <w:rFonts w:eastAsia="Calibri" w:ascii="Times New Roman" w:hAnsi="Times New Roman"/>
          <w:b w:val="false"/>
          <w:bCs w:val="false"/>
          <w:sz w:val="28"/>
          <w:szCs w:val="28"/>
        </w:rPr>
        <w:t>городского</w:t>
      </w:r>
      <w:r>
        <w:rPr>
          <w:rFonts w:eastAsia="Calibri" w:ascii="Times New Roman" w:hAnsi="Times New Roman"/>
          <w:b w:val="false"/>
          <w:bCs w:val="false"/>
          <w:sz w:val="28"/>
          <w:szCs w:val="28"/>
        </w:rPr>
        <w:t xml:space="preserve"> поселения </w:t>
      </w:r>
      <w:r>
        <w:rPr>
          <w:rFonts w:eastAsia="Calibri" w:ascii="Times New Roman" w:hAnsi="Times New Roman"/>
          <w:b w:val="false"/>
          <w:bCs w:val="false"/>
          <w:sz w:val="28"/>
          <w:szCs w:val="28"/>
        </w:rPr>
        <w:t xml:space="preserve">Советский </w:t>
      </w:r>
      <w:r>
        <w:rPr>
          <w:rFonts w:eastAsia="Calibri" w:ascii="Times New Roman" w:hAnsi="Times New Roman"/>
          <w:b w:val="false"/>
          <w:bCs w:val="false"/>
          <w:sz w:val="28"/>
          <w:szCs w:val="28"/>
        </w:rPr>
        <w:t>Советского муниципального района  Республики Марий Эл, у которых оклад месячного денежного содержания (среднемесячное (месячное) денежное содержание) для исчисления пенсии за выслугу лет определен исходя из окладов месячного денежного содержания, установленных решением Собрания депутатов</w:t>
      </w:r>
      <w:r>
        <w:rPr>
          <w:rFonts w:eastAsia="Calibri" w:ascii="Times New Roman" w:hAnsi="Times New Roman"/>
          <w:b w:val="false"/>
          <w:bCs w:val="false"/>
          <w:sz w:val="28"/>
          <w:szCs w:val="28"/>
        </w:rPr>
        <w:t xml:space="preserve"> городского поселения Советский</w:t>
      </w:r>
      <w:r>
        <w:rPr>
          <w:rFonts w:eastAsia="Calibri" w:ascii="Times New Roman" w:hAnsi="Times New Roman"/>
          <w:b w:val="false"/>
          <w:bCs w:val="false"/>
          <w:sz w:val="28"/>
          <w:szCs w:val="28"/>
        </w:rPr>
        <w:t xml:space="preserve"> от 2</w:t>
      </w:r>
      <w:r>
        <w:rPr>
          <w:rFonts w:eastAsia="Calibri" w:ascii="Times New Roman" w:hAnsi="Times New Roman"/>
          <w:b w:val="false"/>
          <w:bCs w:val="false"/>
          <w:sz w:val="28"/>
          <w:szCs w:val="28"/>
        </w:rPr>
        <w:t>2</w:t>
      </w:r>
      <w:r>
        <w:rPr>
          <w:rFonts w:eastAsia="Calibri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eastAsia="Calibri" w:ascii="Times New Roman" w:hAnsi="Times New Roman"/>
          <w:b w:val="false"/>
          <w:bCs w:val="false"/>
          <w:sz w:val="28"/>
          <w:szCs w:val="28"/>
        </w:rPr>
        <w:t>декабря</w:t>
      </w:r>
      <w:r>
        <w:rPr>
          <w:rFonts w:eastAsia="Calibri" w:ascii="Times New Roman" w:hAnsi="Times New Roman"/>
          <w:b w:val="false"/>
          <w:bCs w:val="false"/>
          <w:sz w:val="28"/>
          <w:szCs w:val="28"/>
        </w:rPr>
        <w:t xml:space="preserve"> 2011 года № </w:t>
      </w:r>
      <w:r>
        <w:rPr>
          <w:rFonts w:eastAsia="Calibri" w:ascii="Times New Roman" w:hAnsi="Times New Roman"/>
          <w:b w:val="false"/>
          <w:bCs w:val="false"/>
          <w:sz w:val="28"/>
          <w:szCs w:val="28"/>
        </w:rPr>
        <w:t xml:space="preserve">121 </w:t>
      </w:r>
      <w:r>
        <w:rPr>
          <w:rFonts w:eastAsia="Calibri" w:ascii="Times New Roman" w:hAnsi="Times New Roman"/>
          <w:b w:val="false"/>
          <w:bCs w:val="false"/>
          <w:sz w:val="28"/>
          <w:szCs w:val="28"/>
        </w:rPr>
        <w:t xml:space="preserve">«Об утверждении Положения о размерах и условиях оплаты труда лиц, замещающих должности муниципальной службы в </w:t>
      </w:r>
      <w:r>
        <w:rPr>
          <w:rFonts w:eastAsia="Calibri" w:ascii="Times New Roman" w:hAnsi="Times New Roman"/>
          <w:b w:val="false"/>
          <w:bCs w:val="false"/>
          <w:sz w:val="28"/>
          <w:szCs w:val="28"/>
        </w:rPr>
        <w:t>муниципальном образовании «Городское поселение Советский»</w:t>
      </w:r>
      <w:r>
        <w:rPr>
          <w:rFonts w:eastAsia="Calibri" w:ascii="Times New Roman" w:hAnsi="Times New Roman"/>
          <w:b w:val="false"/>
          <w:bCs w:val="false"/>
          <w:sz w:val="28"/>
          <w:szCs w:val="28"/>
        </w:rPr>
        <w:t>, с 1 октября 2023 г.</w:t>
      </w:r>
    </w:p>
    <w:p>
      <w:pPr>
        <w:pStyle w:val="Normal"/>
        <w:ind w:firstLine="708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2. Установить, что перерасчет размеров пенсий за выслугу лет в соответствии с пунктом 1 настоящего решения осуществляется с учетом размеров месячного денежного содержания лиц, замещающих муниципальные должности, должности муниципальной службы, установленных </w:t>
      </w:r>
      <w:r>
        <w:rPr>
          <w:rFonts w:eastAsia="Calibri" w:ascii="Times New Roman" w:hAnsi="Times New Roman"/>
          <w:b w:val="false"/>
          <w:bCs w:val="false"/>
          <w:sz w:val="28"/>
          <w:szCs w:val="28"/>
        </w:rPr>
        <w:t>решением Собрания депутатов</w:t>
      </w:r>
      <w:r>
        <w:rPr>
          <w:rFonts w:eastAsia="Calibri" w:ascii="Times New Roman" w:hAnsi="Times New Roman"/>
          <w:b w:val="false"/>
          <w:bCs w:val="false"/>
          <w:sz w:val="28"/>
          <w:szCs w:val="28"/>
        </w:rPr>
        <w:t xml:space="preserve"> городского поселения Советский</w:t>
      </w:r>
      <w:r>
        <w:rPr>
          <w:rFonts w:eastAsia="Calibri" w:ascii="Times New Roman" w:hAnsi="Times New Roman"/>
          <w:b w:val="false"/>
          <w:bCs w:val="false"/>
          <w:sz w:val="28"/>
          <w:szCs w:val="28"/>
        </w:rPr>
        <w:t xml:space="preserve"> Советского муниципального образования Республики Марий Эл от </w:t>
      </w:r>
      <w:r>
        <w:rPr>
          <w:rFonts w:eastAsia="Calibri" w:ascii="Times New Roman" w:hAnsi="Times New Roman"/>
          <w:b w:val="false"/>
          <w:bCs w:val="false"/>
          <w:sz w:val="28"/>
          <w:szCs w:val="28"/>
        </w:rPr>
        <w:t xml:space="preserve">22.12.2011 </w:t>
      </w:r>
      <w:r>
        <w:rPr>
          <w:rFonts w:eastAsia="Calibri" w:ascii="Times New Roman" w:hAnsi="Times New Roman"/>
          <w:b w:val="false"/>
          <w:bCs w:val="false"/>
          <w:sz w:val="28"/>
          <w:szCs w:val="28"/>
        </w:rPr>
        <w:t xml:space="preserve">года  № </w:t>
      </w:r>
      <w:r>
        <w:rPr>
          <w:rFonts w:eastAsia="Calibri" w:ascii="Times New Roman" w:hAnsi="Times New Roman"/>
          <w:b w:val="false"/>
          <w:bCs w:val="false"/>
          <w:sz w:val="28"/>
          <w:szCs w:val="28"/>
        </w:rPr>
        <w:t xml:space="preserve">121 </w:t>
      </w:r>
      <w:r>
        <w:rPr>
          <w:rFonts w:eastAsia="Calibri" w:ascii="Times New Roman" w:hAnsi="Times New Roman"/>
          <w:b w:val="false"/>
          <w:bCs w:val="false"/>
          <w:sz w:val="28"/>
          <w:szCs w:val="28"/>
        </w:rPr>
        <w:t xml:space="preserve">«Об утверждении Положения о размерах и условиях оплаты труда лиц, замещающих должности муниципальной службы в </w:t>
      </w:r>
      <w:r>
        <w:rPr>
          <w:rFonts w:eastAsia="Calibri" w:ascii="Times New Roman" w:hAnsi="Times New Roman"/>
          <w:b w:val="false"/>
          <w:bCs w:val="false"/>
          <w:sz w:val="28"/>
          <w:szCs w:val="28"/>
        </w:rPr>
        <w:t>муниципальном образовании «Городское поселение Советский»</w:t>
      </w:r>
      <w:r>
        <w:rPr>
          <w:rFonts w:eastAsia="Calibri" w:ascii="Times New Roman" w:hAnsi="Times New Roman"/>
          <w:b w:val="false"/>
          <w:bCs w:val="false"/>
          <w:sz w:val="28"/>
          <w:szCs w:val="28"/>
        </w:rPr>
        <w:t xml:space="preserve"> с 1 октября 2023 г.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3. </w:t>
      </w:r>
      <w:r>
        <w:rPr>
          <w:rFonts w:eastAsia="Lucida Sans Unicode" w:cs="Times New Roman CYR" w:ascii="Times New Roman" w:hAnsi="Times New Roman"/>
          <w:b w:val="false"/>
          <w:bCs w:val="false"/>
          <w:color w:val="000000"/>
          <w:spacing w:val="-3"/>
          <w:sz w:val="28"/>
          <w:szCs w:val="28"/>
          <w:lang w:bidi="ru-RU"/>
        </w:rPr>
        <w:t xml:space="preserve">Обнародовать настоящее решение 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r>
        <w:rPr>
          <w:rFonts w:eastAsia="Lucida Sans Unicode" w:cs="Times New Roman CYR" w:ascii="Times New Roman" w:hAnsi="Times New Roman"/>
          <w:b w:val="false"/>
          <w:bCs w:val="false"/>
          <w:color w:val="000000"/>
          <w:spacing w:val="-3"/>
          <w:sz w:val="28"/>
          <w:szCs w:val="28"/>
          <w:lang w:val="en-US" w:bidi="ru-RU"/>
        </w:rPr>
        <w:t>mari</w:t>
      </w:r>
      <w:r>
        <w:rPr>
          <w:rFonts w:eastAsia="Lucida Sans Unicode" w:cs="Times New Roman CYR" w:ascii="Times New Roman" w:hAnsi="Times New Roman"/>
          <w:b w:val="false"/>
          <w:bCs w:val="false"/>
          <w:color w:val="000000"/>
          <w:spacing w:val="-3"/>
          <w:sz w:val="28"/>
          <w:szCs w:val="28"/>
          <w:lang w:bidi="ru-RU"/>
        </w:rPr>
        <w:t>-</w:t>
      </w:r>
      <w:r>
        <w:rPr>
          <w:rFonts w:eastAsia="Lucida Sans Unicode" w:cs="Times New Roman CYR" w:ascii="Times New Roman" w:hAnsi="Times New Roman"/>
          <w:b w:val="false"/>
          <w:bCs w:val="false"/>
          <w:color w:val="000000"/>
          <w:spacing w:val="-3"/>
          <w:sz w:val="28"/>
          <w:szCs w:val="28"/>
          <w:lang w:val="en-US" w:bidi="ru-RU"/>
        </w:rPr>
        <w:t>el</w:t>
      </w:r>
      <w:r>
        <w:rPr>
          <w:rFonts w:eastAsia="Lucida Sans Unicode" w:cs="Times New Roman CYR" w:ascii="Times New Roman" w:hAnsi="Times New Roman"/>
          <w:b w:val="false"/>
          <w:bCs w:val="false"/>
          <w:color w:val="000000"/>
          <w:spacing w:val="-3"/>
          <w:sz w:val="28"/>
          <w:szCs w:val="28"/>
          <w:lang w:bidi="ru-RU"/>
        </w:rPr>
        <w:t>.</w:t>
      </w:r>
      <w:r>
        <w:rPr>
          <w:rFonts w:eastAsia="Lucida Sans Unicode" w:cs="Times New Roman CYR" w:ascii="Times New Roman" w:hAnsi="Times New Roman"/>
          <w:b w:val="false"/>
          <w:bCs w:val="false"/>
          <w:color w:val="000000"/>
          <w:spacing w:val="-3"/>
          <w:sz w:val="28"/>
          <w:szCs w:val="28"/>
          <w:lang w:val="en-US" w:bidi="ru-RU"/>
        </w:rPr>
        <w:t>gov</w:t>
      </w:r>
      <w:r>
        <w:rPr>
          <w:rFonts w:eastAsia="Lucida Sans Unicode" w:cs="Times New Roman CYR" w:ascii="Times New Roman" w:hAnsi="Times New Roman"/>
          <w:b w:val="false"/>
          <w:bCs w:val="false"/>
          <w:color w:val="000000"/>
          <w:spacing w:val="-3"/>
          <w:sz w:val="28"/>
          <w:szCs w:val="28"/>
          <w:lang w:bidi="ru-RU"/>
        </w:rPr>
        <w:t>.</w:t>
      </w:r>
      <w:r>
        <w:rPr>
          <w:rFonts w:eastAsia="Lucida Sans Unicode" w:cs="Times New Roman CYR" w:ascii="Times New Roman" w:hAnsi="Times New Roman"/>
          <w:b w:val="false"/>
          <w:bCs w:val="false"/>
          <w:color w:val="000000"/>
          <w:spacing w:val="-3"/>
          <w:sz w:val="28"/>
          <w:szCs w:val="28"/>
          <w:lang w:val="en-US" w:bidi="ru-RU"/>
        </w:rPr>
        <w:t>ru</w:t>
      </w:r>
      <w:r>
        <w:rPr>
          <w:rFonts w:eastAsia="Lucida Sans Unicode" w:cs="Times New Roman CYR" w:ascii="Times New Roman" w:hAnsi="Times New Roman"/>
          <w:b w:val="false"/>
          <w:bCs w:val="false"/>
          <w:color w:val="000000"/>
          <w:spacing w:val="-3"/>
          <w:sz w:val="28"/>
          <w:szCs w:val="28"/>
          <w:lang w:bidi="ru-RU"/>
        </w:rPr>
        <w:t>).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4. Настоящее решение вступает в силу после его обнародования и распространяется на правоотношения, возникшие  с 1 октября 2023 года.  </w:t>
      </w:r>
    </w:p>
    <w:p>
      <w:pPr>
        <w:pStyle w:val="Normal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W w:w="9392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747"/>
      </w:tblGrid>
      <w:tr>
        <w:trPr/>
        <w:tc>
          <w:tcPr>
            <w:tcW w:w="4644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 Советский</w:t>
            </w:r>
          </w:p>
        </w:tc>
        <w:tc>
          <w:tcPr>
            <w:tcW w:w="4747" w:type="dxa"/>
            <w:tcBorders/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 Павлова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984" w:right="850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Lucida Sans Unicode" w:cs="Mang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link w:val="13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5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link w:val="19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3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5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7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2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4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600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2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3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5"/>
    <w:uiPriority w:val="11"/>
    <w:qFormat/>
    <w:rPr>
      <w:sz w:val="24"/>
      <w:szCs w:val="24"/>
    </w:rPr>
  </w:style>
  <w:style w:type="character" w:styleId="QuoteChar">
    <w:name w:val="Quote Char"/>
    <w:link w:val="37"/>
    <w:uiPriority w:val="29"/>
    <w:qFormat/>
    <w:rPr>
      <w:i/>
    </w:rPr>
  </w:style>
  <w:style w:type="character" w:styleId="IntenseQuoteChar">
    <w:name w:val="Intense Quote Char"/>
    <w:link w:val="39"/>
    <w:uiPriority w:val="30"/>
    <w:qFormat/>
    <w:rPr>
      <w:i/>
    </w:rPr>
  </w:style>
  <w:style w:type="character" w:styleId="HeaderChar">
    <w:name w:val="Header Char"/>
    <w:basedOn w:val="DefaultParagraphFont"/>
    <w:link w:val="41"/>
    <w:uiPriority w:val="99"/>
    <w:qFormat/>
    <w:rPr/>
  </w:style>
  <w:style w:type="character" w:styleId="FooterChar">
    <w:name w:val="Footer Char"/>
    <w:basedOn w:val="DefaultParagraphFont"/>
    <w:link w:val="43"/>
    <w:uiPriority w:val="99"/>
    <w:qFormat/>
    <w:rPr/>
  </w:style>
  <w:style w:type="character" w:styleId="CaptionChar">
    <w:name w:val="Caption Char"/>
    <w:link w:val="43"/>
    <w:uiPriority w:val="99"/>
    <w:qFormat/>
    <w:rPr/>
  </w:style>
  <w:style w:type="character" w:styleId="FootnoteTextChar">
    <w:name w:val="Footnote Text Char"/>
    <w:link w:val="174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7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7">
    <w:name w:val="Основной шрифт абзаца"/>
    <w:qFormat/>
    <w:rPr/>
  </w:style>
  <w:style w:type="character" w:styleId="51">
    <w:name w:val="Основной шрифт абзаца5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>
      <w:sz w:val="28"/>
      <w:szCs w:val="28"/>
      <w:lang w:val="ru-RU"/>
    </w:rPr>
  </w:style>
  <w:style w:type="character" w:styleId="WW8Num2z3">
    <w:name w:val="WW8Num2z3"/>
    <w:qFormat/>
    <w:rPr>
      <w:sz w:val="26"/>
      <w:szCs w:val="26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Times New Roman"/>
      <w:sz w:val="28"/>
      <w:szCs w:val="28"/>
    </w:rPr>
  </w:style>
  <w:style w:type="character" w:styleId="41">
    <w:name w:val="Основной шрифт абзаца4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31">
    <w:name w:val="Основной шрифт абзаца3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Style8">
    <w:name w:val="Символ нумерации"/>
    <w:qFormat/>
    <w:rPr>
      <w:sz w:val="28"/>
      <w:szCs w:val="28"/>
    </w:rPr>
  </w:style>
  <w:style w:type="character" w:styleId="Style9">
    <w:name w:val="Интернет-ссылка"/>
    <w:rPr>
      <w:color w:val="000080"/>
      <w:u w:val="single"/>
    </w:rPr>
  </w:style>
  <w:style w:type="character" w:styleId="WW8Num4z0">
    <w:name w:val="WW8Num4z0"/>
    <w:qFormat/>
    <w:rPr>
      <w:rFonts w:ascii="Times New Roman" w:hAnsi="Times New Roman" w:cs="Times New Roman"/>
      <w:b/>
      <w:sz w:val="28"/>
      <w:szCs w:val="28"/>
    </w:rPr>
  </w:style>
  <w:style w:type="character" w:styleId="Style10">
    <w:name w:val="Основной текст Знак"/>
    <w:qFormat/>
    <w:rPr>
      <w:rFonts w:eastAsia="Lucida Sans Unicode" w:cs="Mangal"/>
      <w:sz w:val="24"/>
      <w:szCs w:val="24"/>
      <w:lang w:bidi="hi-IN"/>
    </w:rPr>
  </w:style>
  <w:style w:type="character" w:styleId="21">
    <w:name w:val="Основной шрифт абзаца2"/>
    <w:qFormat/>
    <w:rPr/>
  </w:style>
  <w:style w:type="character" w:styleId="22">
    <w:name w:val="Основной текст2"/>
    <w:basedOn w:val="21"/>
    <w:qFormat/>
    <w:rPr>
      <w:rFonts w:ascii="Times New Roman" w:hAnsi="Times New Roman" w:cs="Times New Roman"/>
      <w:color w:val="000000"/>
      <w:spacing w:val="1"/>
      <w:position w:val="0"/>
      <w:sz w:val="25"/>
      <w:sz w:val="25"/>
      <w:szCs w:val="25"/>
      <w:shd w:fill="FFFFFF" w:val="clear"/>
      <w:vertAlign w:val="baseline"/>
      <w:lang w:val="ru-RU"/>
    </w:rPr>
  </w:style>
  <w:style w:type="character" w:styleId="11">
    <w:name w:val="Основной шрифт абзаца1"/>
    <w:qFormat/>
    <w:rPr/>
  </w:style>
  <w:style w:type="character" w:styleId="12">
    <w:name w:val="Основной текст Знак1"/>
    <w:basedOn w:val="11"/>
    <w:qFormat/>
    <w:rPr>
      <w:rFonts w:ascii="Times New Roman" w:hAnsi="Times New Roman" w:cs="Times New Roman"/>
      <w:sz w:val="25"/>
      <w:szCs w:val="25"/>
      <w:u w:val="none"/>
    </w:rPr>
  </w:style>
  <w:style w:type="character" w:styleId="12pt">
    <w:name w:val="Основной текст + 12 pt"/>
    <w:basedOn w:val="12"/>
    <w:qFormat/>
    <w:rPr>
      <w:spacing w:val="1"/>
      <w:sz w:val="24"/>
      <w:szCs w:val="24"/>
    </w:rPr>
  </w:style>
  <w:style w:type="character" w:styleId="DefaultParagraphFont" w:default="1">
    <w:name w:val="Default Paragraph Font"/>
    <w:qFormat/>
    <w:rPr/>
  </w:style>
  <w:style w:type="character" w:styleId="32">
    <w:name w:val="Основной текст (3)_"/>
    <w:basedOn w:val="DefaultParagraphFont"/>
    <w:qFormat/>
    <w:rPr>
      <w:rFonts w:cs="Times New Roman"/>
      <w:b/>
      <w:bCs/>
      <w:sz w:val="27"/>
      <w:szCs w:val="27"/>
    </w:rPr>
  </w:style>
  <w:style w:type="character" w:styleId="BodyTextChar">
    <w:name w:val="Body Text Char"/>
    <w:qFormat/>
    <w:rPr>
      <w:sz w:val="26"/>
    </w:rPr>
  </w:style>
  <w:style w:type="character" w:styleId="FontStyle38">
    <w:name w:val="Font Style38"/>
    <w:qFormat/>
    <w:rPr>
      <w:rFonts w:ascii="Times New Roman" w:hAnsi="Times New Roman" w:cs="Times New Roman"/>
      <w:sz w:val="26"/>
      <w:szCs w:val="26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сноски"/>
    <w:basedOn w:val="41"/>
    <w:qFormat/>
    <w:rPr>
      <w:vertAlign w:val="superscript"/>
    </w:rPr>
  </w:style>
  <w:style w:type="character" w:styleId="ListLabel1">
    <w:name w:val="ListLabel 1"/>
    <w:qFormat/>
    <w:rPr>
      <w:sz w:val="28"/>
      <w:szCs w:val="28"/>
    </w:rPr>
  </w:style>
  <w:style w:type="character" w:styleId="ListLabel2">
    <w:name w:val="ListLabel 2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styleId="ListLabel3">
    <w:name w:val="ListLabel 3"/>
    <w:qFormat/>
    <w:rPr>
      <w:rFonts w:cs="Times New Roman"/>
      <w:color w:val="000000"/>
      <w:sz w:val="28"/>
      <w:szCs w:val="28"/>
      <w:u w:val="none"/>
    </w:rPr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styleId="ListLabel6">
    <w:name w:val="ListLabel 6"/>
    <w:qFormat/>
    <w:rPr>
      <w:rFonts w:cs="Times New Roman"/>
      <w:color w:val="000000"/>
      <w:sz w:val="28"/>
      <w:szCs w:val="28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Style19">
    <w:name w:val="Title"/>
    <w:basedOn w:val="Normal"/>
    <w:link w:val="3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0">
    <w:name w:val="Subtitle"/>
    <w:basedOn w:val="Normal"/>
    <w:link w:val="3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8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1">
    <w:name w:val="Header"/>
    <w:basedOn w:val="Normal"/>
    <w:link w:val="42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46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note Text"/>
    <w:basedOn w:val="Normal"/>
    <w:link w:val="175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4">
    <w:name w:val="Endnote Text"/>
    <w:basedOn w:val="Normal"/>
    <w:link w:val="17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3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3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2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2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5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43">
    <w:name w:val="Указатель4"/>
    <w:basedOn w:val="Normal"/>
    <w:qFormat/>
    <w:pPr>
      <w:suppressLineNumbers/>
    </w:pPr>
    <w:rPr>
      <w:rFonts w:cs="Arial"/>
    </w:rPr>
  </w:style>
  <w:style w:type="paragraph" w:styleId="34">
    <w:name w:val="Название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5">
    <w:name w:val="Указатель3"/>
    <w:basedOn w:val="Normal"/>
    <w:qFormat/>
    <w:pPr>
      <w:suppressLineNumbers/>
    </w:pPr>
    <w:rPr>
      <w:rFonts w:cs="Mangal"/>
    </w:rPr>
  </w:style>
  <w:style w:type="paragraph" w:styleId="24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5">
    <w:name w:val="Указатель2"/>
    <w:basedOn w:val="Normal"/>
    <w:qFormat/>
    <w:pPr>
      <w:suppressLineNumbers/>
    </w:pPr>
    <w:rPr>
      <w:rFonts w:cs="Mangal"/>
    </w:rPr>
  </w:style>
  <w:style w:type="paragraph" w:styleId="14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Mangal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/>
      <w:bidi w:val="0"/>
      <w:ind w:firstLine="72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right="0" w:hanging="0"/>
    </w:pPr>
    <w:rPr>
      <w:sz w:val="28"/>
      <w:szCs w:val="28"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val="ru-RU" w:eastAsia="zh-CN" w:bidi="ar-SA"/>
    </w:rPr>
  </w:style>
  <w:style w:type="paragraph" w:styleId="ConsTitle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Arial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zh-CN" w:bidi="ar-SA"/>
    </w:rPr>
  </w:style>
  <w:style w:type="paragraph" w:styleId="Style28">
    <w:name w:val="Абзац списка"/>
    <w:basedOn w:val="Normal"/>
    <w:qFormat/>
    <w:pPr>
      <w:ind w:left="720" w:right="0" w:hanging="0"/>
    </w:pPr>
    <w:rPr/>
  </w:style>
  <w:style w:type="paragraph" w:styleId="ConsPlusNormal1">
    <w:name w:val="  ConsPlus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hi-IN"/>
    </w:rPr>
  </w:style>
  <w:style w:type="paragraph" w:styleId="Default">
    <w:name w:val="Default"/>
    <w:qFormat/>
    <w:pPr>
      <w:widowControl/>
      <w:bidi w:val="0"/>
      <w:spacing w:lineRule="atLeast" w:line="10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paragraph" w:styleId="Style29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ConsNormal">
    <w:name w:val="ConsNormal"/>
    <w:qFormat/>
    <w:pPr>
      <w:widowControl w:val="false"/>
      <w:bidi w:val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311">
    <w:name w:val="Основной текст (3)1"/>
    <w:basedOn w:val="Normal"/>
    <w:qFormat/>
    <w:pPr>
      <w:shd w:val="clear" w:color="auto" w:fill="FFFFFF"/>
      <w:spacing w:lineRule="exact" w:line="322" w:before="2820" w:after="0"/>
      <w:ind w:left="0" w:right="0" w:hanging="0"/>
      <w:jc w:val="center"/>
    </w:pPr>
    <w:rPr>
      <w:rFonts w:ascii="Times New Roman" w:hAnsi="Times New Roman" w:eastAsia="Calibri" w:cs="Times New Roman"/>
      <w:b/>
      <w:bCs/>
      <w:color w:val="00000A"/>
      <w:sz w:val="27"/>
      <w:szCs w:val="27"/>
    </w:rPr>
  </w:style>
  <w:style w:type="paragraph" w:styleId="ConsPlusCell">
    <w:name w:val="ConsPlusCell"/>
    <w:qFormat/>
    <w:pPr>
      <w:widowControl w:val="fals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30">
    <w:name w:val="Нормальный (таблица)"/>
    <w:basedOn w:val="Normal"/>
    <w:qFormat/>
    <w:pPr>
      <w:widowControl w:val="false"/>
      <w:jc w:val="both"/>
    </w:pPr>
    <w:rPr>
      <w:rFonts w:ascii="Arial" w:hAnsi="Arial" w:cs="Arial"/>
    </w:rPr>
  </w:style>
  <w:style w:type="paragraph" w:styleId="Style101">
    <w:name w:val="Style10"/>
    <w:basedOn w:val="Normal"/>
    <w:qFormat/>
    <w:pPr>
      <w:spacing w:lineRule="exact" w:line="306"/>
      <w:jc w:val="center"/>
    </w:pPr>
    <w:rPr/>
  </w:style>
  <w:style w:type="paragraph" w:styleId="Style31">
    <w:name w:val="Style3"/>
    <w:basedOn w:val="Normal"/>
    <w:qFormat/>
    <w:pPr>
      <w:spacing w:lineRule="exact" w:line="648"/>
      <w:jc w:val="center"/>
    </w:pPr>
    <w:rPr/>
  </w:style>
  <w:style w:type="paragraph" w:styleId="Style210">
    <w:name w:val="Style2"/>
    <w:basedOn w:val="Normal"/>
    <w:qFormat/>
    <w:pPr>
      <w:jc w:val="both"/>
    </w:pPr>
    <w:rPr/>
  </w:style>
  <w:style w:type="paragraph" w:styleId="Style221">
    <w:name w:val="Style22"/>
    <w:basedOn w:val="Normal"/>
    <w:qFormat/>
    <w:pPr>
      <w:spacing w:lineRule="exact" w:line="322"/>
      <w:ind w:left="0" w:right="0" w:hanging="149"/>
    </w:pPr>
    <w:rPr/>
  </w:style>
  <w:style w:type="paragraph" w:styleId="Style121">
    <w:name w:val="Style12"/>
    <w:basedOn w:val="Normal"/>
    <w:qFormat/>
    <w:pPr>
      <w:spacing w:lineRule="exact" w:line="313"/>
      <w:ind w:left="0" w:right="0" w:firstLine="696"/>
      <w:jc w:val="both"/>
    </w:pPr>
    <w:rPr/>
  </w:style>
  <w:style w:type="paragraph" w:styleId="Style241">
    <w:name w:val="Style24"/>
    <w:basedOn w:val="Normal"/>
    <w:qFormat/>
    <w:pPr>
      <w:spacing w:lineRule="exact" w:line="322"/>
      <w:ind w:left="0" w:right="0" w:firstLine="739"/>
      <w:jc w:val="both"/>
    </w:pPr>
    <w:rPr/>
  </w:style>
  <w:style w:type="paragraph" w:styleId="ConsPlusDocList">
    <w:name w:val="&#9;&#9;ConsPlusDocList"/>
    <w:next w:val="Normal"/>
    <w:qFormat/>
    <w:pPr>
      <w:widowControl w:val="false"/>
      <w:suppressAutoHyphens w:val="true"/>
      <w:bidi w:val="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hi-IN"/>
    </w:rPr>
  </w:style>
  <w:style w:type="numbering" w:styleId="WW8Num1">
    <w:name w:val="WW8Num1"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LibreOffice/6.1.2.1$Windows_x86 LibreOffice_project/65905a128db06ba48db947242809d14d3f9a93fe</Application>
  <Pages>2</Pages>
  <Words>365</Words>
  <Characters>2586</Characters>
  <CharactersWithSpaces>3042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2023-01-31T13:15:00Z</dcterms:created>
  <dc:creator>Куми6</dc:creator>
  <dc:description/>
  <cp:keywords> </cp:keywords>
  <dc:language>en-US</dc:language>
  <cp:lastModifiedBy/>
  <cp:lastPrinted>2023-11-09T16:18:11Z</cp:lastPrinted>
  <dcterms:modified xsi:type="dcterms:W3CDTF">2023-11-09T16:18:42Z</dcterms:modified>
  <cp:revision>12</cp:revision>
  <dc:subject/>
  <dc:title>Решение Собрания депутатов Городского поселения Советский от 23.12.2021 года № 155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О Прогнозном плане приватизации муниципального имущества на 2022 год
</vt:lpwstr>
  </property>
  <property fmtid="{D5CDD505-2E9C-101B-9397-08002B2CF9AE}" pid="3" name="_dlc_DocId">
    <vt:lpwstr>XXJ7TYMEEKJ2-4592-402</vt:lpwstr>
  </property>
  <property fmtid="{D5CDD505-2E9C-101B-9397-08002B2CF9AE}" pid="4" name="_dlc_DocIdItemGuid">
    <vt:lpwstr>6ae6b4fd-9f0b-4207-850f-66450863c535</vt:lpwstr>
  </property>
  <property fmtid="{D5CDD505-2E9C-101B-9397-08002B2CF9AE}" pid="5" name="_dlc_DocIdUrl">
    <vt:lpwstr>https://vip.gov.mari.ru/sovetsk/gpsovetskiy/_layouts/DocIdRedir.aspx?ID=XXJ7TYMEEKJ2-4592-402, XXJ7TYMEEKJ2-4592-402</vt:lpwstr>
  </property>
</Properties>
</file>