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8A" w:rsidRDefault="00D0388A" w:rsidP="00D03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0388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388A">
        <w:rPr>
          <w:rFonts w:ascii="Times New Roman" w:hAnsi="Times New Roman" w:cs="Times New Roman"/>
          <w:sz w:val="28"/>
          <w:szCs w:val="28"/>
        </w:rPr>
        <w:t xml:space="preserve"> о потенциале энергосбережения относительно объектов </w:t>
      </w:r>
      <w:proofErr w:type="spellStart"/>
      <w:r w:rsidRPr="00D0388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0388A">
        <w:rPr>
          <w:rFonts w:ascii="Times New Roman" w:hAnsi="Times New Roman" w:cs="Times New Roman"/>
          <w:sz w:val="28"/>
          <w:szCs w:val="28"/>
        </w:rPr>
        <w:t xml:space="preserve"> хозяйства, систем коммунальной инфраструктуры </w:t>
      </w:r>
    </w:p>
    <w:p w:rsidR="00D0388A" w:rsidRPr="00D0388A" w:rsidRDefault="00D0388A" w:rsidP="00D038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88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0388A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D0388A">
        <w:rPr>
          <w:rFonts w:ascii="Times New Roman" w:hAnsi="Times New Roman" w:cs="Times New Roman"/>
          <w:sz w:val="28"/>
          <w:szCs w:val="28"/>
        </w:rPr>
        <w:t xml:space="preserve"> по повышению их энергетической эффективности</w:t>
      </w:r>
    </w:p>
    <w:p w:rsidR="00D0388A" w:rsidRPr="006D66DD" w:rsidRDefault="00D0388A" w:rsidP="00C47B9D">
      <w:pPr>
        <w:shd w:val="clear" w:color="auto" w:fill="FFFFFF"/>
        <w:spacing w:after="0" w:line="25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A3D7F" w:rsidRDefault="002A3D7F" w:rsidP="00C47B9D">
      <w:pPr>
        <w:shd w:val="clear" w:color="auto" w:fill="FFFFFF"/>
        <w:spacing w:after="0" w:line="25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kern w:val="36"/>
          <w:sz w:val="28"/>
          <w:szCs w:val="28"/>
        </w:rPr>
        <w:t>Российские установки солнечного теплоснабжения.</w:t>
      </w:r>
    </w:p>
    <w:p w:rsidR="00C47B9D" w:rsidRPr="00C47B9D" w:rsidRDefault="00C47B9D" w:rsidP="00C47B9D">
      <w:pPr>
        <w:shd w:val="clear" w:color="auto" w:fill="FFFFFF"/>
        <w:spacing w:after="0" w:line="25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76">
        <w:rPr>
          <w:rFonts w:ascii="Times New Roman" w:hAnsi="Times New Roman" w:cs="Times New Roman"/>
          <w:sz w:val="28"/>
          <w:szCs w:val="28"/>
        </w:rPr>
        <w:t>Экологическая повестка последних десятилетий способствовала тому, что сегодня мировая тенденция развития энергетики состоит в расширении использования возобновляемых источников энергии (ВИЭ), включая энергию солнечной радиации. Всего в мире на начало 2019 года общая установленная мощность солнечного теплоснабжения составила</w:t>
      </w:r>
      <w:r w:rsidR="00272276" w:rsidRPr="00272276">
        <w:rPr>
          <w:rFonts w:ascii="Times New Roman" w:hAnsi="Times New Roman" w:cs="Times New Roman"/>
          <w:sz w:val="28"/>
          <w:szCs w:val="28"/>
        </w:rPr>
        <w:t xml:space="preserve"> </w:t>
      </w:r>
      <w:r w:rsidRPr="00272276">
        <w:rPr>
          <w:rFonts w:ascii="Times New Roman" w:hAnsi="Times New Roman" w:cs="Times New Roman"/>
          <w:sz w:val="28"/>
          <w:szCs w:val="28"/>
        </w:rPr>
        <w:t>1 480 ГВт, или 600 </w:t>
      </w:r>
      <w:proofErr w:type="spellStart"/>
      <w:proofErr w:type="gramStart"/>
      <w:r w:rsidRPr="0027227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72276">
        <w:rPr>
          <w:rFonts w:ascii="Times New Roman" w:hAnsi="Times New Roman" w:cs="Times New Roman"/>
          <w:sz w:val="28"/>
          <w:szCs w:val="28"/>
        </w:rPr>
        <w:t> м2 (в </w:t>
      </w:r>
      <w:r w:rsidR="00272276">
        <w:rPr>
          <w:rFonts w:ascii="Times New Roman" w:hAnsi="Times New Roman" w:cs="Times New Roman"/>
          <w:sz w:val="28"/>
          <w:szCs w:val="28"/>
        </w:rPr>
        <w:t>России – 68 МВт, или 85 тыс. м2</w:t>
      </w:r>
      <w:r w:rsidRPr="00272276">
        <w:rPr>
          <w:rFonts w:ascii="Times New Roman" w:hAnsi="Times New Roman" w:cs="Times New Roman"/>
          <w:sz w:val="28"/>
          <w:szCs w:val="28"/>
        </w:rPr>
        <w:t>). В нашей стране, к сожалению, внедрение гелиоустановок (ГУ) проводится медленными темпами. Во многом это связано с длительным сроком окупаемости ГУ. На примере реальных проектов проанализируем, в чем причина и можно ли сделать российское солнечное теплоснабжение более привлекательным для инвестора.</w:t>
      </w:r>
    </w:p>
    <w:p w:rsidR="00272276" w:rsidRDefault="00272276" w:rsidP="0027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D7F" w:rsidRPr="00272276" w:rsidRDefault="002A3D7F" w:rsidP="0027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276">
        <w:rPr>
          <w:rFonts w:ascii="Times New Roman" w:hAnsi="Times New Roman" w:cs="Times New Roman"/>
          <w:sz w:val="28"/>
          <w:szCs w:val="28"/>
        </w:rPr>
        <w:t>Развитие солнечного теплоснабжения в России</w:t>
      </w:r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276">
        <w:rPr>
          <w:rFonts w:ascii="Times New Roman" w:hAnsi="Times New Roman" w:cs="Times New Roman"/>
          <w:sz w:val="28"/>
          <w:szCs w:val="28"/>
        </w:rPr>
        <w:t>Советская система развития солнечного теплоснабжения включала пять основных научных школ, четыре специализированных научно-исследовательских и проектных института, семь заводов по производству солнечных коллекторов (СК) и специализированную организацию «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Спецгелиотепломонтаж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>» (Тбилиси), выполнявшую исследования, проектирование, изготовление</w:t>
      </w:r>
      <w:r w:rsidR="00272276">
        <w:rPr>
          <w:rFonts w:ascii="Times New Roman" w:hAnsi="Times New Roman" w:cs="Times New Roman"/>
          <w:sz w:val="28"/>
          <w:szCs w:val="28"/>
        </w:rPr>
        <w:t xml:space="preserve"> СК и монтаж гелиоустановок (ГУ</w:t>
      </w:r>
      <w:r w:rsidRPr="002722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76">
        <w:rPr>
          <w:rFonts w:ascii="Times New Roman" w:hAnsi="Times New Roman" w:cs="Times New Roman"/>
          <w:sz w:val="28"/>
          <w:szCs w:val="28"/>
        </w:rPr>
        <w:t xml:space="preserve">Теоретические основы создания в СССР СК и гелиоустановок были заложены в 1924 году доктором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Б. П.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Вейнбергом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 (1871–1942). Оптимизацией конструкций СК и массовым сооружением ГУ в 1930-е годы занимался канд.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Б. В. Петухов. Главным гелиотехническим теоретиком СССР в 1970-е годы был доктор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Б. В.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Тарнижеский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, который разработал и испытал большинство советских конструкций СК. Лидер ташкентской гелиотехнической школы доктор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Р. Р.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Авезов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 разработал методы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эксергетического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 анализа и новые конструкции СК. Ведущими проектными институтами по ГУ были Киевский зональный НИПИ экспериментального проектирования (доктор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М. Б. Рабинович) и Ташкентский зональный НИПИ экспериментального проектирования (канд.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>. наук Ю. К. Рашидов). В СССР основными производителями СК были Братский завод (до 100 тыс. м</w:t>
      </w:r>
      <w:proofErr w:type="gramStart"/>
      <w:r w:rsidRPr="002722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2276">
        <w:rPr>
          <w:rFonts w:ascii="Times New Roman" w:hAnsi="Times New Roman" w:cs="Times New Roman"/>
          <w:sz w:val="28"/>
          <w:szCs w:val="28"/>
        </w:rPr>
        <w:t> в год) и «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Спецгелиотепломонтаж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» в Тбилиси (до 40 тыс. м2 в год). В 1990-е годы СК с оптимальным соотношением цены и энергетической эффективности производил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 механический завод под руководством А. А. Лычагина (1933–2012). На их основе в Краснодарском крае доктором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 В. А.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Бутузовым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 были построены более 100 ГУ общей площадью 10 тыс. м</w:t>
      </w:r>
      <w:proofErr w:type="gramStart"/>
      <w:r w:rsidRPr="002722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72276">
        <w:rPr>
          <w:rFonts w:ascii="Times New Roman" w:hAnsi="Times New Roman" w:cs="Times New Roman"/>
          <w:sz w:val="28"/>
          <w:szCs w:val="28"/>
        </w:rPr>
        <w:t xml:space="preserve">. </w:t>
      </w:r>
      <w:r w:rsidRPr="00272276">
        <w:rPr>
          <w:rFonts w:ascii="Times New Roman" w:hAnsi="Times New Roman" w:cs="Times New Roman"/>
          <w:sz w:val="28"/>
          <w:szCs w:val="28"/>
        </w:rPr>
        <w:t xml:space="preserve">В 2000-х годах Г. П. Касаткиным в Улан-Удэ были разработаны и </w:t>
      </w:r>
      <w:r w:rsidRPr="00272276">
        <w:rPr>
          <w:rFonts w:ascii="Times New Roman" w:hAnsi="Times New Roman" w:cs="Times New Roman"/>
          <w:sz w:val="28"/>
          <w:szCs w:val="28"/>
        </w:rPr>
        <w:lastRenderedPageBreak/>
        <w:t>изготовлены несколько конструкций СК и десятки ГУ общей площадью 4 тыс. м</w:t>
      </w:r>
      <w:proofErr w:type="gramStart"/>
      <w:r w:rsidRPr="002722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2276">
        <w:rPr>
          <w:rFonts w:ascii="Times New Roman" w:hAnsi="Times New Roman" w:cs="Times New Roman"/>
          <w:sz w:val="28"/>
          <w:szCs w:val="28"/>
        </w:rPr>
        <w:t>.</w:t>
      </w:r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76">
        <w:rPr>
          <w:rFonts w:ascii="Times New Roman" w:hAnsi="Times New Roman" w:cs="Times New Roman"/>
          <w:sz w:val="28"/>
          <w:szCs w:val="28"/>
        </w:rPr>
        <w:t xml:space="preserve">В настоящее время в России исследованием солнечной радиации и гелиоустановок занимаются: Московский государственный университет им. Ломоносова (доктор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А. А. Соловьев, канд.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К. С. Дегтярев), Объединенный институт высоких температур РАН (ОИВТ РАН) (Москва), в </w:t>
      </w:r>
      <w:proofErr w:type="gramStart"/>
      <w:r w:rsidRPr="0027227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72276">
        <w:rPr>
          <w:rFonts w:ascii="Times New Roman" w:hAnsi="Times New Roman" w:cs="Times New Roman"/>
          <w:sz w:val="28"/>
          <w:szCs w:val="28"/>
        </w:rPr>
        <w:t xml:space="preserve"> проводятся исследования характеристик СК и гелиоустановок (доктор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О. С.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С. Е.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>); Кубанский государственный аграрный университет (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, Краснодар), специалистами которого (доктор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 В. А. Бутузов, доктор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Р. А.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Амерханов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В. В. Бутузов, канд.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. наук Е. В. Брянцева, канд.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>. наук И. С. Гнатюк) определены достоверные значения солнечной радиации для всех городов Краснодарского края [3].</w:t>
      </w:r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76">
        <w:rPr>
          <w:rFonts w:ascii="Times New Roman" w:hAnsi="Times New Roman" w:cs="Times New Roman"/>
          <w:sz w:val="28"/>
          <w:szCs w:val="28"/>
        </w:rPr>
        <w:t>Разработку проектов крупных ГУ выполняет ООО «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Энерготехнологии-Сервис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 xml:space="preserve">» (Краснодар) </w:t>
      </w:r>
      <w:proofErr w:type="gramStart"/>
      <w:r w:rsidRPr="0027227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72276">
        <w:rPr>
          <w:rFonts w:ascii="Times New Roman" w:hAnsi="Times New Roman" w:cs="Times New Roman"/>
          <w:sz w:val="28"/>
          <w:szCs w:val="28"/>
        </w:rPr>
        <w:t xml:space="preserve"> «Новый Полюс» (Москва). Для проектирования гелиоустановок применяются в основном компьютерные базы данных (например,  www.eosweb.larc.nasa.gov).</w:t>
      </w:r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76">
        <w:rPr>
          <w:rFonts w:ascii="Times New Roman" w:hAnsi="Times New Roman" w:cs="Times New Roman"/>
          <w:sz w:val="28"/>
          <w:szCs w:val="28"/>
        </w:rPr>
        <w:t xml:space="preserve">Сегодня в России СК производят две организации: </w:t>
      </w:r>
      <w:proofErr w:type="gramStart"/>
      <w:r w:rsidRPr="00272276">
        <w:rPr>
          <w:rFonts w:ascii="Times New Roman" w:hAnsi="Times New Roman" w:cs="Times New Roman"/>
          <w:sz w:val="28"/>
          <w:szCs w:val="28"/>
        </w:rPr>
        <w:t>ООО «Новый Полюс» предлагает СК типа «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Яsolar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>» следующих видов: жидкостные, плоские, воздушные, воздушно-жидкостные, трубчатые вакуумные жидкостные, а АО «ВПК «НПО Машиностроение» – жидкостные СК («СОКОЛ-ЭФФЕКТ»).</w:t>
      </w:r>
      <w:proofErr w:type="gramEnd"/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276">
        <w:rPr>
          <w:rFonts w:ascii="Times New Roman" w:hAnsi="Times New Roman" w:cs="Times New Roman"/>
          <w:sz w:val="28"/>
          <w:szCs w:val="28"/>
        </w:rPr>
        <w:t>Следует отметить, что в связи с резким понижением курса рубля по отношению к мировым валютам в 2015 году цены на зарубежные СК и оборудование ГУ увеличились почти в два раза.</w:t>
      </w:r>
      <w:proofErr w:type="gramEnd"/>
      <w:r w:rsidRPr="00272276">
        <w:rPr>
          <w:rFonts w:ascii="Times New Roman" w:hAnsi="Times New Roman" w:cs="Times New Roman"/>
          <w:sz w:val="28"/>
          <w:szCs w:val="28"/>
        </w:rPr>
        <w:t xml:space="preserve"> Если в 2014 году импорт СК достигал 12 тыс. м</w:t>
      </w:r>
      <w:proofErr w:type="gramStart"/>
      <w:r w:rsidRPr="002722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2276">
        <w:rPr>
          <w:rFonts w:ascii="Times New Roman" w:hAnsi="Times New Roman" w:cs="Times New Roman"/>
          <w:sz w:val="28"/>
          <w:szCs w:val="28"/>
        </w:rPr>
        <w:t> [4], то в последующие годы качественное гелиотехническое оборудование для потребителей в России стало практически недоступно.</w:t>
      </w:r>
    </w:p>
    <w:p w:rsidR="00272276" w:rsidRDefault="00272276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D7F" w:rsidRPr="00272276" w:rsidRDefault="002A3D7F" w:rsidP="0027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2276">
        <w:rPr>
          <w:rFonts w:ascii="Times New Roman" w:hAnsi="Times New Roman" w:cs="Times New Roman"/>
          <w:sz w:val="28"/>
          <w:szCs w:val="28"/>
        </w:rPr>
        <w:t>Примеры внедрения российских гелиоустановок</w:t>
      </w:r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76">
        <w:rPr>
          <w:rFonts w:ascii="Times New Roman" w:hAnsi="Times New Roman" w:cs="Times New Roman"/>
          <w:sz w:val="28"/>
          <w:szCs w:val="28"/>
        </w:rPr>
        <w:t>В настоящее время в наибольших масштабах ГУ эксплуатируются в Краснодарском и Ставропольском краях, Бурятии, Астраханской и Волгоградской областях, Хабаровском и Приморском краях. Самая большая российская гелиоустановка (4 400 м</w:t>
      </w:r>
      <w:proofErr w:type="gramStart"/>
      <w:r w:rsidRPr="002722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2276">
        <w:rPr>
          <w:rFonts w:ascii="Times New Roman" w:hAnsi="Times New Roman" w:cs="Times New Roman"/>
          <w:sz w:val="28"/>
          <w:szCs w:val="28"/>
        </w:rPr>
        <w:t xml:space="preserve">) работает в Астраханской области в городе 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Нариманов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>.</w:t>
      </w:r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276">
        <w:rPr>
          <w:rFonts w:ascii="Times New Roman" w:hAnsi="Times New Roman" w:cs="Times New Roman"/>
          <w:sz w:val="28"/>
          <w:szCs w:val="28"/>
        </w:rPr>
        <w:t>Рассмотрим примеры современных, построенных в 2018–2019 годах, российских ГУ с солнечными коллекторами и баками-аккумуляторами отечественных производителей.</w:t>
      </w:r>
    </w:p>
    <w:p w:rsidR="00272276" w:rsidRDefault="00272276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D7F" w:rsidRPr="00272276" w:rsidRDefault="002A3D7F" w:rsidP="00272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276">
        <w:rPr>
          <w:rFonts w:ascii="Times New Roman" w:hAnsi="Times New Roman" w:cs="Times New Roman"/>
          <w:b/>
          <w:sz w:val="28"/>
          <w:szCs w:val="28"/>
        </w:rPr>
        <w:t>Пример 1</w:t>
      </w:r>
    </w:p>
    <w:p w:rsidR="002A3D7F" w:rsidRPr="00C47B9D" w:rsidRDefault="002A3D7F" w:rsidP="00272276">
      <w:pPr>
        <w:spacing w:after="0" w:line="240" w:lineRule="auto"/>
        <w:ind w:firstLine="709"/>
        <w:jc w:val="both"/>
        <w:rPr>
          <w:rFonts w:eastAsia="Times New Roman"/>
        </w:rPr>
      </w:pPr>
      <w:r w:rsidRPr="00272276">
        <w:rPr>
          <w:rFonts w:ascii="Times New Roman" w:hAnsi="Times New Roman" w:cs="Times New Roman"/>
          <w:sz w:val="28"/>
          <w:szCs w:val="28"/>
        </w:rPr>
        <w:t>В 2019 году был завершен монтаж гелиоустановки для ГВС и отопления санатория «</w:t>
      </w:r>
      <w:proofErr w:type="spellStart"/>
      <w:r w:rsidRPr="00272276">
        <w:rPr>
          <w:rFonts w:ascii="Times New Roman" w:hAnsi="Times New Roman" w:cs="Times New Roman"/>
          <w:sz w:val="28"/>
          <w:szCs w:val="28"/>
        </w:rPr>
        <w:t>Меллас</w:t>
      </w:r>
      <w:proofErr w:type="spellEnd"/>
      <w:r w:rsidRPr="00272276">
        <w:rPr>
          <w:rFonts w:ascii="Times New Roman" w:hAnsi="Times New Roman" w:cs="Times New Roman"/>
          <w:sz w:val="28"/>
          <w:szCs w:val="28"/>
        </w:rPr>
        <w:t>» в пос. Санаторный (Ялта, Крым) общей площадью 72 м</w:t>
      </w:r>
      <w:proofErr w:type="gramStart"/>
      <w:r w:rsidRPr="002722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2276">
        <w:rPr>
          <w:rFonts w:ascii="Times New Roman" w:hAnsi="Times New Roman" w:cs="Times New Roman"/>
          <w:sz w:val="28"/>
          <w:szCs w:val="28"/>
        </w:rPr>
        <w:t> (рис. 1). Ориентация гелиоустановки</w:t>
      </w:r>
      <w:r w:rsidRPr="00272276">
        <w:rPr>
          <w:rFonts w:ascii="Times New Roman" w:eastAsia="Times New Roman" w:hAnsi="Times New Roman" w:cs="Times New Roman"/>
          <w:sz w:val="28"/>
          <w:szCs w:val="28"/>
        </w:rPr>
        <w:t xml:space="preserve"> юго-восточная (азимутальный угол – 35º). Угол наклона СК – 45º к горизонту.</w:t>
      </w:r>
    </w:p>
    <w:tbl>
      <w:tblPr>
        <w:tblW w:w="792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9"/>
      </w:tblGrid>
      <w:tr w:rsidR="002A3D7F" w:rsidRPr="00C47B9D" w:rsidTr="002A3D7F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2A3D7F" w:rsidRPr="00C47B9D" w:rsidRDefault="002A3D7F" w:rsidP="00C4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4761865" cy="3675380"/>
                  <wp:effectExtent l="19050" t="0" r="635" b="0"/>
                  <wp:docPr id="1" name="Рисунок 1" descr=" Гелиоустановка в пос. Санато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Гелиоустановка в пос. Санато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367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D7F" w:rsidRPr="00C47B9D" w:rsidTr="002A3D7F">
        <w:trPr>
          <w:jc w:val="center"/>
        </w:trPr>
        <w:tc>
          <w:tcPr>
            <w:tcW w:w="0" w:type="auto"/>
            <w:tcBorders>
              <w:top w:val="single" w:sz="4" w:space="0" w:color="999999"/>
              <w:left w:val="nil"/>
              <w:bottom w:val="single" w:sz="8" w:space="0" w:color="999999"/>
              <w:right w:val="nil"/>
            </w:tcBorders>
            <w:shd w:val="clear" w:color="auto" w:fill="FFFFFF"/>
            <w:tcMar>
              <w:top w:w="94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2A3D7F" w:rsidRPr="00C47B9D" w:rsidRDefault="002A3D7F" w:rsidP="00C47B9D">
            <w:pPr>
              <w:spacing w:after="0" w:line="140" w:lineRule="atLeast"/>
              <w:ind w:left="47" w:right="47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>Рисунок 1.</w:t>
            </w:r>
          </w:p>
          <w:p w:rsidR="002A3D7F" w:rsidRPr="00C47B9D" w:rsidRDefault="002A3D7F" w:rsidP="00C4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>Гелиоустановка в пос. Санаторный (Ялта, Крым): а) фото; б) схема</w:t>
            </w:r>
          </w:p>
        </w:tc>
      </w:tr>
    </w:tbl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36 СК установлены на плоской кровле здания в трехрядном исполнении. В каждом ряду по два блока из шести СК. Два бака-аккумулятора вместимостью по 3 м</w:t>
      </w:r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имеют по два встроенных греющих змеевика.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Гелиоконтур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включает в себя СК, змеевики баков-аккумуляторов, насосную станцию (рис. 1б).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Проектом предусмотрено три режима работы установки. Летом, при максимальном расходе воды ГВС, в работе находятся два стальных эмалированных бака вместимостью по 2 м</w:t>
      </w:r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. При уменьшении расхода воды на ГВС контроллер SR1568 производит последовательный нагрев воды в одном, затем во втором баке. В зимнее время баки-аккумуляторы 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отключаются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и теплоноситель ГУ нагревает сетевую воду дежурного отопления здания.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Сметная стоимость гелиоустановки 3,5 </w:t>
      </w:r>
      <w:proofErr w:type="spellStart"/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руб., в том числе одна треть – приобретение солнечных коллекторов. Проектная мощность ГУ – 48 кВт, дневная выработка тепловой энергии 240 кВт•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>. ГУ оборудована узлом учета тепловой энергии.</w:t>
      </w:r>
    </w:p>
    <w:p w:rsidR="00272276" w:rsidRDefault="00272276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2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На базе отдыха АО «ВПК «НПО Машиностроение» в пос. Архипо-Осиповка Краснодарского края смонтирована гелиоустановка с 50 СК типа «СОКОЛ-ЭФФЕКТ-М» общей площадью 100 м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47B9D">
        <w:rPr>
          <w:rFonts w:ascii="Times New Roman" w:eastAsia="Times New Roman" w:hAnsi="Times New Roman" w:cs="Times New Roman"/>
          <w:sz w:val="28"/>
          <w:szCs w:val="28"/>
        </w:rPr>
        <w:t>(рис. 2).</w:t>
      </w:r>
    </w:p>
    <w:tbl>
      <w:tblPr>
        <w:tblW w:w="792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9"/>
      </w:tblGrid>
      <w:tr w:rsidR="002A3D7F" w:rsidRPr="00C47B9D" w:rsidTr="002A3D7F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2A3D7F" w:rsidRPr="00C47B9D" w:rsidRDefault="002A3D7F" w:rsidP="00C4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4761865" cy="6668135"/>
                  <wp:effectExtent l="19050" t="0" r="635" b="0"/>
                  <wp:docPr id="2" name="Рисунок 2" descr="Гелиоустановка в пос. Архипо-Осип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лиоустановка в пос. Архипо-Осип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666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D7F" w:rsidRPr="00C47B9D" w:rsidTr="002A3D7F">
        <w:trPr>
          <w:jc w:val="center"/>
        </w:trPr>
        <w:tc>
          <w:tcPr>
            <w:tcW w:w="0" w:type="auto"/>
            <w:tcBorders>
              <w:top w:val="single" w:sz="4" w:space="0" w:color="999999"/>
              <w:left w:val="nil"/>
              <w:bottom w:val="single" w:sz="8" w:space="0" w:color="999999"/>
              <w:right w:val="nil"/>
            </w:tcBorders>
            <w:shd w:val="clear" w:color="auto" w:fill="FFFFFF"/>
            <w:tcMar>
              <w:top w:w="94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2A3D7F" w:rsidRPr="00C47B9D" w:rsidRDefault="002A3D7F" w:rsidP="00C47B9D">
            <w:pPr>
              <w:spacing w:after="0" w:line="140" w:lineRule="atLeast"/>
              <w:ind w:left="47" w:right="47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>Рисунок 2.</w:t>
            </w:r>
          </w:p>
          <w:p w:rsidR="002A3D7F" w:rsidRPr="00C47B9D" w:rsidRDefault="002A3D7F" w:rsidP="00C4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>Гелиоустановка в пос. Архипо-Осиповка (Краснодарский край): а) фото; б) схема</w:t>
            </w:r>
          </w:p>
        </w:tc>
      </w:tr>
    </w:tbl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СК размещены на кровле столовой, ориентация южная, угол наклона 45º к горизонту и скомпонованы в пять блоков по 10 шт. Схема обвязки блоков СК противоточная с балансировочными клапанами.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Четыре бака-аккумулятора вместимостью по 2 м</w:t>
      </w:r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в подвале здания.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Гелиоконтур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включает СК, змеевики баков-аккумуляторов, насосную станцию, установку аварийного расхолаживания, пластинчатый теплообменник дежурного отопления зданий. Баки-аккумуляторы из нержавеющей стали произведены в Республике Беларусь.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Сметная стоимость – 6,6 </w:t>
      </w:r>
      <w:proofErr w:type="spellStart"/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руб., (100 %), в том числе стоимость СК, оборудования и материалов – 80,3 %.</w:t>
      </w:r>
    </w:p>
    <w:p w:rsidR="00272276" w:rsidRDefault="00272276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 3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В 2019 году завершено строительство ГУ горячего водоснабжения детского оздоровительного лагеря «Зеленый огонек» в пос.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Дедеркой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(Туапсе, Краснодарский край) (рис. 3).</w:t>
      </w:r>
    </w:p>
    <w:tbl>
      <w:tblPr>
        <w:tblW w:w="792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9"/>
      </w:tblGrid>
      <w:tr w:rsidR="002A3D7F" w:rsidRPr="00C47B9D" w:rsidTr="002A3D7F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2A3D7F" w:rsidRPr="00C47B9D" w:rsidRDefault="002A3D7F" w:rsidP="00C4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761865" cy="5984875"/>
                  <wp:effectExtent l="19050" t="0" r="635" b="0"/>
                  <wp:docPr id="3" name="Рисунок 3" descr="Гелиоустановка в пос. Дедер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лиоустановка в пос. Дедер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598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D7F" w:rsidRPr="00C47B9D" w:rsidTr="002A3D7F">
        <w:trPr>
          <w:jc w:val="center"/>
        </w:trPr>
        <w:tc>
          <w:tcPr>
            <w:tcW w:w="0" w:type="auto"/>
            <w:tcBorders>
              <w:top w:val="single" w:sz="4" w:space="0" w:color="999999"/>
              <w:left w:val="nil"/>
              <w:bottom w:val="single" w:sz="8" w:space="0" w:color="999999"/>
              <w:right w:val="nil"/>
            </w:tcBorders>
            <w:shd w:val="clear" w:color="auto" w:fill="FFFFFF"/>
            <w:tcMar>
              <w:top w:w="94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2A3D7F" w:rsidRPr="00C47B9D" w:rsidRDefault="002A3D7F" w:rsidP="00C47B9D">
            <w:pPr>
              <w:spacing w:after="0" w:line="140" w:lineRule="atLeast"/>
              <w:ind w:left="47" w:right="47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>Рисунок 3.</w:t>
            </w:r>
          </w:p>
          <w:p w:rsidR="002A3D7F" w:rsidRPr="00C47B9D" w:rsidRDefault="002A3D7F" w:rsidP="00C4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Гелиоустановка в пос. </w:t>
            </w:r>
            <w:proofErr w:type="spellStart"/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>Дедеркой</w:t>
            </w:r>
            <w:proofErr w:type="spellEnd"/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(Туапсе): а) фото; б) схема</w:t>
            </w:r>
          </w:p>
        </w:tc>
      </w:tr>
    </w:tbl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На кровле столовой смонтированы 120 СК блоками по пять СК. Основные технические характеристики СК: площадь 240 м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, абсорбер медный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листотрубный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, паяный, российского производства. Схема ГУ двухконтурная. Вспомогательное оборудование ГУ размещено в отдельном модуле с размерами 8×3×4 (высота) 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>. Применены четыре бака-аккумулятора белорусского производителя с греющими змеевиками. Аварийное расхолаживание обеспечивается четырьмя тепловентиляторами, управляемыми контроллером ТРМ. Циркуляция теплоносителя (ЕСО «Сила солнца») насосная. Работой ГУ управляет контролер ТРМ. Ведется дистанционный мониторинг работы ГУ через модем.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целесообразности сооружения гелиоустановок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Обзор российских методик по оценке экономической целесообразности сооружения гелиоустановок представлен в [3], а об известных мировых методиках, включая определение жизненного цикла (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LCoE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>), информация дана в [5] и [6]. Целесообразность применения фотоэлектрических установок для теплоснабжения исследуется в [7].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Для анализа перспектив российского рынка ГУ практически неприменима международная методика определения производственной энергии за жизненный цикл (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LCoE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>). Уже отмеченное резкое изменение в 2015 году курса национальной валюты, нестабильность налоговой политики и отсутствие государственной поддержки делают актуальным упрощенный подход при оценке экономической целесообразности сооружения ГУ по формуле: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4435" cy="861060"/>
            <wp:effectExtent l="19050" t="0" r="0" b="0"/>
            <wp:docPr id="4" name="Рисунок 4" descr="Инновационные шумоглушители для круглых воздуховодов 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новационные шумоглушители для круглых воздуховодов 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где Т – срок экономической окупаемости; К – удельные инвестиционные затраты (сметная стоимость, руб./м</w:t>
      </w:r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 – коэффициент удельных эксплуатационных затрат;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Js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– суммарная солнечная радиация в плоскости СК, кВт•ч/м</w:t>
      </w:r>
      <w:r w:rsidRPr="00C47B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использования солнечной радиации; η – коэффициент преобразования солнечной энергии; </w:t>
      </w:r>
      <w:proofErr w:type="spellStart"/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– удельная стоимость замещаемой тепловой энергии, руб./кВт•ч;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прогнозного роста стоимости замещаемой тепловой энергии.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Расчет срока экономической окупаемости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Рассчитаем срок экономической окупаемости для описанных ранее гелиоустановок, используя упрощенный подход.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Начнем с ГУ в пос. Архипо-Осиповка (пример 2, рис. 2). 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При общей сметной стоимости гелиоустановки 6 600 тыс. руб. (100 %) структура затрат на ее сооружение следующая (рис. 4): затраты на СК, оборудование, арматуру и материалы составили 5 300 тыс. руб., монтаж металлоконструкций – 250 тыс. руб., электромонтажные работы – 314 тыс. руб., пусконаладочные – 140 тыс. руб., проектные – 400 тыс. руб., прочие – 200 тыс. руб.</w:t>
      </w:r>
      <w:proofErr w:type="gramEnd"/>
    </w:p>
    <w:tbl>
      <w:tblPr>
        <w:tblW w:w="792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9"/>
      </w:tblGrid>
      <w:tr w:rsidR="002A3D7F" w:rsidRPr="00C47B9D" w:rsidTr="002A3D7F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  <w:hideMark/>
          </w:tcPr>
          <w:p w:rsidR="002A3D7F" w:rsidRPr="00C47B9D" w:rsidRDefault="002A3D7F" w:rsidP="00C4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2856230" cy="4221480"/>
                  <wp:effectExtent l="19050" t="0" r="1270" b="0"/>
                  <wp:docPr id="5" name="Рисунок 5" descr="Структура сметной стоимости ГУ в пос. Архипо-Осип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руктура сметной стоимости ГУ в пос. Архипо-Осип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422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D7F" w:rsidRPr="00C47B9D" w:rsidTr="002A3D7F">
        <w:trPr>
          <w:jc w:val="center"/>
        </w:trPr>
        <w:tc>
          <w:tcPr>
            <w:tcW w:w="0" w:type="auto"/>
            <w:tcBorders>
              <w:top w:val="single" w:sz="4" w:space="0" w:color="999999"/>
              <w:left w:val="nil"/>
              <w:bottom w:val="single" w:sz="8" w:space="0" w:color="999999"/>
              <w:right w:val="nil"/>
            </w:tcBorders>
            <w:shd w:val="clear" w:color="auto" w:fill="FFFFFF"/>
            <w:tcMar>
              <w:top w:w="94" w:type="dxa"/>
              <w:left w:w="0" w:type="dxa"/>
              <w:bottom w:w="19" w:type="dxa"/>
              <w:right w:w="0" w:type="dxa"/>
            </w:tcMar>
            <w:vAlign w:val="center"/>
            <w:hideMark/>
          </w:tcPr>
          <w:p w:rsidR="002A3D7F" w:rsidRPr="00C47B9D" w:rsidRDefault="002A3D7F" w:rsidP="00C47B9D">
            <w:pPr>
              <w:spacing w:after="0" w:line="140" w:lineRule="atLeast"/>
              <w:ind w:left="47" w:right="47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>Рисунок 4.</w:t>
            </w:r>
          </w:p>
          <w:p w:rsidR="002A3D7F" w:rsidRPr="00C47B9D" w:rsidRDefault="002A3D7F" w:rsidP="00C4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7B9D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Структура сметной стоимости ГУ в пос. Архипо-Осиповка</w:t>
            </w:r>
          </w:p>
        </w:tc>
      </w:tr>
    </w:tbl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Стоимость эксплуатационных затрат ГУ складывается из стоимости приобретения ремонтных комплектов СК и оборудования, работ по обслуживанию, замены теплоносителя, электроснабжения, поверки и ремонта приборов и оценивается в 3–5 % стоимости инвестиционных затрат.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Суммарная интенсивность солнечной радиации в плоскости СК определяется по известным методикам на основе компьютерных баз данных.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Поправочный коэффициент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Кэ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учитывает фактическую работу ГУ в утренние и вечерние часы по команде контроллера и оценивается в 0,85–0,90.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Коэффициент преобразования солнечной радиации определяется конструкцией СК, режимами работы ГУ и составляет 0,4–0,5.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Коэффициент прогнозного роста стоимости замещаемой тепловой энергии определяется государственной политикой и на ближайшие годы составляет 1,03.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Тогда срок окупаемости рассматриваемой ГУ, определенный по приведенной формуле, при стоимости замещаемой электрической энергии 6 руб./кВт•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и круглогодичном режиме работы превышает 20 лет. А это срок службы СК.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Срок окупаемости гелиоустановки, эксплуатируемой в Крыму (пример 1, рис. 1) и имеющей аналогичные СК, при стоимости замещаемой тепловой энергии 8 руб./кВт•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(котельная на дизельном топливе) и круглогодичном режиме работы составит 17 лет.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Стоимость гелиоустановки в Туапсе (пример 3, рис. 3) значительно ниже, чем двух предыдущих, так как ее монтаж выполнен изготовителем СК. При стоимости СК, оборудования и материалов 5 100 тыс. руб. и работ 2 800 тыс. руб. при сезонном режиме работы и стоимости замещаемой тепловой энергии 8 руб./кВт•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срок окупаемости ГУ составит 4,5 года.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Перспективы сооружения гелиоустановок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С учетом изложенного можно утверждать, что, во-первых, как правило, используются проектные решения ГУ с двухконтурными схемами, баками-аккумуляторами из нержавеющей стали, комбинированием горячего водоснабжения и дежурного отопления, автоматическим управлением и контролем. Во-вторых, сроки окупаемости ГУ варьируются от 4,5 до 20 лет, что зависит в основном от инвестиционных затрат, загрузки оборудования в течение года и стоимости замещаемой тепловой энергии.</w:t>
      </w:r>
    </w:p>
    <w:p w:rsidR="002A3D7F" w:rsidRPr="00C47B9D" w:rsidRDefault="002A3D7F" w:rsidP="00C47B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Перспективы сооружения ГУ определяются в первую очередь освоением производства недорогих качественных СК, созданием фирм, не только выпускающих СК, но и выполняющих весь комплекс работ: от проектирования и монтажа до эксплуатации ГУ.</w:t>
      </w:r>
    </w:p>
    <w:p w:rsidR="00C47B9D" w:rsidRPr="00C47B9D" w:rsidRDefault="00C47B9D" w:rsidP="00C47B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8CF" w:rsidRPr="00C47B9D" w:rsidRDefault="00C208CF" w:rsidP="00C47B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C208CF" w:rsidRPr="00C47B9D" w:rsidRDefault="00C208CF" w:rsidP="00C47B9D">
      <w:pPr>
        <w:numPr>
          <w:ilvl w:val="0"/>
          <w:numId w:val="1"/>
        </w:numPr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Бутузов В. А. Солнечное теплоснабжение: статистика мирового рынка и особенности российского опыта // Теплоэнергетика. 2018. № 10. С. 78–88.</w:t>
      </w:r>
    </w:p>
    <w:p w:rsidR="00C208CF" w:rsidRPr="00C47B9D" w:rsidRDefault="00C208CF" w:rsidP="00C47B9D">
      <w:pPr>
        <w:numPr>
          <w:ilvl w:val="0"/>
          <w:numId w:val="1"/>
        </w:numPr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Бутузов В. А. Столетний опыт работы российских научных школ солнечного теплоснабжения // Энергия: экономика, техника, экология. 2019. № 2. С. 16–29.</w:t>
      </w:r>
    </w:p>
    <w:p w:rsidR="00C208CF" w:rsidRPr="00C47B9D" w:rsidRDefault="00C208CF" w:rsidP="00C47B9D">
      <w:pPr>
        <w:numPr>
          <w:ilvl w:val="0"/>
          <w:numId w:val="1"/>
        </w:numPr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Бутузов В. А., Бутузов В. В. Использование солнечной энергии для производства тепловой энергии. М.: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Интехэнерго-Издат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, Теплоэнергетик. 2015. 314 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8CF" w:rsidRPr="00C47B9D" w:rsidRDefault="00C208CF" w:rsidP="00C47B9D">
      <w:pPr>
        <w:numPr>
          <w:ilvl w:val="0"/>
          <w:numId w:val="1"/>
        </w:numPr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Бутузов В. А., Брянцева Е. В., Бутузов В. В., Гнатюк И. С. Тенденции мирового и российского рынка гелиоустановок // Альтернативная энергетика и экология. 2016. № 5–6. С. 14–50.</w:t>
      </w:r>
    </w:p>
    <w:p w:rsidR="00C208CF" w:rsidRPr="00C47B9D" w:rsidRDefault="00C208CF" w:rsidP="00C47B9D">
      <w:pPr>
        <w:numPr>
          <w:ilvl w:val="0"/>
          <w:numId w:val="1"/>
        </w:numPr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Копылов А. Е. Экономика ВИЭ. М.: Грифон. 2013. 364 </w:t>
      </w:r>
      <w:proofErr w:type="gramStart"/>
      <w:r w:rsidRPr="00C47B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7B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8CF" w:rsidRPr="00C47B9D" w:rsidRDefault="00C208CF" w:rsidP="00C47B9D">
      <w:pPr>
        <w:numPr>
          <w:ilvl w:val="0"/>
          <w:numId w:val="1"/>
        </w:numPr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Дегтярев К. С. Экономика возобновляемой энергетики в мире и в России // С.О.К. 2017. № 9. С. 80–87.</w:t>
      </w:r>
    </w:p>
    <w:p w:rsidR="00C208CF" w:rsidRPr="00C47B9D" w:rsidRDefault="00C208CF" w:rsidP="00C47B9D">
      <w:pPr>
        <w:numPr>
          <w:ilvl w:val="0"/>
          <w:numId w:val="1"/>
        </w:numPr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Фрид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С. Е.,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А. Б. Использование </w:t>
      </w:r>
      <w:proofErr w:type="spellStart"/>
      <w:r w:rsidRPr="00C47B9D">
        <w:rPr>
          <w:rFonts w:ascii="Times New Roman" w:eastAsia="Times New Roman" w:hAnsi="Times New Roman" w:cs="Times New Roman"/>
          <w:sz w:val="28"/>
          <w:szCs w:val="28"/>
        </w:rPr>
        <w:t>фотобатарей</w:t>
      </w:r>
      <w:proofErr w:type="spellEnd"/>
      <w:r w:rsidRPr="00C47B9D">
        <w:rPr>
          <w:rFonts w:ascii="Times New Roman" w:eastAsia="Times New Roman" w:hAnsi="Times New Roman" w:cs="Times New Roman"/>
          <w:sz w:val="28"/>
          <w:szCs w:val="28"/>
        </w:rPr>
        <w:t xml:space="preserve"> для горячего водоснабжения – опыт и перспективы // Альтернативные источники энергии и экология. 2018. № 16–18. С. 23–38.</w:t>
      </w:r>
    </w:p>
    <w:p w:rsidR="00C47B9D" w:rsidRDefault="00C47B9D" w:rsidP="00C4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3D7F" w:rsidRDefault="002A3D7F" w:rsidP="00C47B9D">
      <w:pPr>
        <w:shd w:val="clear" w:color="auto" w:fill="FFFFFF"/>
        <w:spacing w:after="0" w:line="240" w:lineRule="auto"/>
        <w:jc w:val="both"/>
        <w:textAlignment w:val="baseline"/>
      </w:pPr>
      <w:r w:rsidRPr="00C47B9D">
        <w:rPr>
          <w:rFonts w:ascii="Times New Roman" w:eastAsia="Times New Roman" w:hAnsi="Times New Roman" w:cs="Times New Roman"/>
          <w:sz w:val="28"/>
          <w:szCs w:val="28"/>
        </w:rPr>
        <w:t>Источник: </w:t>
      </w:r>
      <w:r w:rsidR="00272276" w:rsidRPr="00631027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631027">
        <w:rPr>
          <w:rFonts w:ascii="Times New Roman" w:hAnsi="Times New Roman" w:cs="Times New Roman"/>
          <w:sz w:val="28"/>
          <w:szCs w:val="28"/>
        </w:rPr>
        <w:t>«</w:t>
      </w:r>
      <w:r w:rsidR="00272276" w:rsidRPr="00631027">
        <w:rPr>
          <w:rFonts w:ascii="Times New Roman" w:hAnsi="Times New Roman" w:cs="Times New Roman"/>
          <w:sz w:val="28"/>
          <w:szCs w:val="28"/>
        </w:rPr>
        <w:t>Энергосбережение</w:t>
      </w:r>
      <w:r w:rsidR="00631027">
        <w:rPr>
          <w:rFonts w:ascii="Times New Roman" w:hAnsi="Times New Roman" w:cs="Times New Roman"/>
          <w:sz w:val="28"/>
          <w:szCs w:val="28"/>
        </w:rPr>
        <w:t>»</w:t>
      </w:r>
      <w:r w:rsidR="00272276" w:rsidRPr="00631027">
        <w:rPr>
          <w:rFonts w:ascii="Times New Roman" w:hAnsi="Times New Roman" w:cs="Times New Roman"/>
          <w:sz w:val="28"/>
          <w:szCs w:val="28"/>
        </w:rPr>
        <w:t xml:space="preserve"> №8 2019</w:t>
      </w:r>
    </w:p>
    <w:p w:rsidR="006D66DD" w:rsidRDefault="006D66DD" w:rsidP="00C47B9D">
      <w:pPr>
        <w:shd w:val="clear" w:color="auto" w:fill="FFFFFF"/>
        <w:spacing w:after="0" w:line="240" w:lineRule="auto"/>
        <w:jc w:val="both"/>
        <w:textAlignment w:val="baseline"/>
      </w:pPr>
    </w:p>
    <w:p w:rsidR="000056B5" w:rsidRPr="00C47B9D" w:rsidRDefault="000056B5" w:rsidP="00C4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56B5" w:rsidRPr="00C47B9D" w:rsidSect="00C47B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762"/>
    <w:multiLevelType w:val="multilevel"/>
    <w:tmpl w:val="4984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3D7F"/>
    <w:rsid w:val="000056B5"/>
    <w:rsid w:val="00191CE4"/>
    <w:rsid w:val="00272276"/>
    <w:rsid w:val="002A3D7F"/>
    <w:rsid w:val="00415ECC"/>
    <w:rsid w:val="004905A7"/>
    <w:rsid w:val="005836E2"/>
    <w:rsid w:val="00631027"/>
    <w:rsid w:val="006D66DD"/>
    <w:rsid w:val="008A1A0B"/>
    <w:rsid w:val="00C208CF"/>
    <w:rsid w:val="00C47B9D"/>
    <w:rsid w:val="00C84FBA"/>
    <w:rsid w:val="00D0388A"/>
    <w:rsid w:val="00F6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E4"/>
  </w:style>
  <w:style w:type="paragraph" w:styleId="1">
    <w:name w:val="heading 1"/>
    <w:basedOn w:val="a"/>
    <w:link w:val="10"/>
    <w:uiPriority w:val="9"/>
    <w:qFormat/>
    <w:rsid w:val="002A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A3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A3D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3D7F"/>
    <w:rPr>
      <w:color w:val="0000FF"/>
      <w:u w:val="single"/>
    </w:rPr>
  </w:style>
  <w:style w:type="character" w:styleId="a5">
    <w:name w:val="Strong"/>
    <w:basedOn w:val="a0"/>
    <w:uiPriority w:val="22"/>
    <w:qFormat/>
    <w:rsid w:val="002A3D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021">
          <w:marLeft w:val="0"/>
          <w:marRight w:val="168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66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130">
          <w:marLeft w:val="0"/>
          <w:marRight w:val="0"/>
          <w:marTop w:val="187"/>
          <w:marBottom w:val="187"/>
          <w:divBdr>
            <w:top w:val="single" w:sz="4" w:space="5" w:color="D8D8D8"/>
            <w:left w:val="none" w:sz="0" w:space="5" w:color="auto"/>
            <w:bottom w:val="none" w:sz="0" w:space="0" w:color="auto"/>
            <w:right w:val="none" w:sz="0" w:space="5" w:color="auto"/>
          </w:divBdr>
          <w:divsChild>
            <w:div w:id="1011182330">
              <w:marLeft w:val="0"/>
              <w:marRight w:val="0"/>
              <w:marTop w:val="187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sapunovmv</dc:creator>
  <cp:keywords/>
  <dc:description/>
  <cp:lastModifiedBy>user_01</cp:lastModifiedBy>
  <cp:revision>9</cp:revision>
  <dcterms:created xsi:type="dcterms:W3CDTF">2019-12-27T02:30:00Z</dcterms:created>
  <dcterms:modified xsi:type="dcterms:W3CDTF">2023-02-07T07:53:00Z</dcterms:modified>
</cp:coreProperties>
</file>