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BB" w:rsidRPr="005F30BB" w:rsidRDefault="005F30BB" w:rsidP="005F30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F30BB">
        <w:rPr>
          <w:rFonts w:ascii="Times New Roman" w:hAnsi="Times New Roman" w:cs="Times New Roman"/>
        </w:rPr>
        <w:t>ПРОЕКТ РЕШЕНИЯ</w:t>
      </w:r>
    </w:p>
    <w:p w:rsidR="005F30BB" w:rsidRPr="005F30BB" w:rsidRDefault="005F30BB" w:rsidP="005F30BB">
      <w:pPr>
        <w:spacing w:after="0"/>
        <w:jc w:val="right"/>
        <w:rPr>
          <w:rFonts w:ascii="Times New Roman" w:hAnsi="Times New Roman" w:cs="Times New Roman"/>
        </w:rPr>
      </w:pPr>
      <w:r w:rsidRPr="005F30BB">
        <w:rPr>
          <w:rFonts w:ascii="Times New Roman" w:hAnsi="Times New Roman" w:cs="Times New Roman"/>
        </w:rPr>
        <w:t xml:space="preserve">Вносится главой Кужмаринского </w:t>
      </w:r>
    </w:p>
    <w:p w:rsidR="005F30BB" w:rsidRPr="005F30BB" w:rsidRDefault="005F30BB" w:rsidP="005F30BB">
      <w:pPr>
        <w:spacing w:after="0"/>
        <w:jc w:val="right"/>
        <w:rPr>
          <w:rFonts w:ascii="Times New Roman" w:hAnsi="Times New Roman" w:cs="Times New Roman"/>
        </w:rPr>
      </w:pPr>
      <w:r w:rsidRPr="005F30BB">
        <w:rPr>
          <w:rFonts w:ascii="Times New Roman" w:hAnsi="Times New Roman" w:cs="Times New Roman"/>
        </w:rPr>
        <w:t>сельской администрации</w:t>
      </w:r>
    </w:p>
    <w:p w:rsidR="005F30BB" w:rsidRPr="005F30BB" w:rsidRDefault="005F30BB" w:rsidP="005F30B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F30BB">
        <w:rPr>
          <w:rFonts w:ascii="Times New Roman" w:hAnsi="Times New Roman" w:cs="Times New Roman"/>
        </w:rPr>
        <w:t>___________И.А.Янцев</w:t>
      </w:r>
      <w:proofErr w:type="spellEnd"/>
    </w:p>
    <w:p w:rsidR="005F30BB" w:rsidRDefault="005F30BB" w:rsidP="005F30BB">
      <w:pPr>
        <w:spacing w:after="0"/>
        <w:jc w:val="right"/>
        <w:rPr>
          <w:rFonts w:ascii="Times New Roman" w:hAnsi="Times New Roman" w:cs="Times New Roman"/>
        </w:rPr>
      </w:pPr>
      <w:r w:rsidRPr="005F30BB">
        <w:rPr>
          <w:rFonts w:ascii="Times New Roman" w:hAnsi="Times New Roman" w:cs="Times New Roman"/>
        </w:rPr>
        <w:t>«__»__________2022 г.</w:t>
      </w:r>
    </w:p>
    <w:p w:rsidR="005F30BB" w:rsidRPr="005F30BB" w:rsidRDefault="005F30BB" w:rsidP="005F30BB">
      <w:pPr>
        <w:spacing w:after="0"/>
        <w:jc w:val="right"/>
        <w:rPr>
          <w:rFonts w:ascii="Times New Roman" w:hAnsi="Times New Roman" w:cs="Times New Roman"/>
        </w:rPr>
      </w:pPr>
    </w:p>
    <w:p w:rsidR="0063134D" w:rsidRPr="005F30BB" w:rsidRDefault="0063134D" w:rsidP="005F3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E813C7" w:rsidRDefault="000247EB" w:rsidP="005F3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вопросов правоприменительной </w:t>
      </w:r>
      <w:proofErr w:type="gramStart"/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вступивших</w:t>
      </w:r>
      <w:r w:rsidR="00284E58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законную силу решений судов, арбитражных судов </w:t>
      </w:r>
      <w:r w:rsid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</w:t>
      </w:r>
      <w:r w:rsidR="005F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Кужмаринского</w:t>
      </w:r>
      <w:r w:rsid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274C94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</w:t>
      </w:r>
      <w:r w:rsidR="00D85752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74C94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Эл</w:t>
      </w:r>
      <w:r w:rsidR="00D85752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E813C7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статьи 6 Федерального закона от 25 декабря 2008 г. №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коррупции», Уставом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proofErr w:type="gramStart"/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о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Образовать рабочую группу по рассмотрению вопросов правоприменительной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Утвердить:</w:t>
      </w:r>
    </w:p>
    <w:p w:rsidR="000247EB" w:rsidRPr="00B46FDF" w:rsidRDefault="00E813C7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вопросов правоприменительной </w:t>
      </w:r>
      <w:proofErr w:type="gramStart"/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(далее 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согласно приложению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247EB" w:rsidRPr="00B46FDF" w:rsidRDefault="00E813C7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правоприменительной </w:t>
      </w:r>
      <w:proofErr w:type="gramStart"/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355DB" w:rsidRDefault="000247EB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355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Обнародовать настоящее решение и разместить на официальном сайте</w:t>
      </w:r>
      <w:r w:rsid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официальный</w:t>
      </w:r>
      <w:r w:rsid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интернет-портал Республики Марий Эл (адрес доступа: </w:t>
      </w:r>
      <w:proofErr w:type="spellStart"/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mari-el.gov.ru</w:t>
      </w:r>
      <w:proofErr w:type="spellEnd"/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).</w:t>
      </w:r>
    </w:p>
    <w:p w:rsidR="009355DB" w:rsidRDefault="009355DB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4. </w:t>
      </w:r>
      <w:r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63134D" w:rsidRDefault="0063134D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3134D" w:rsidRDefault="0063134D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3134D" w:rsidRDefault="005F30BB" w:rsidP="0063134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Глава </w:t>
      </w:r>
    </w:p>
    <w:p w:rsidR="0063134D" w:rsidRPr="009355DB" w:rsidRDefault="005F30BB" w:rsidP="0063134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Кужмаринского</w:t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 xml:space="preserve">       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Т.Н.Рябинина</w:t>
      </w:r>
    </w:p>
    <w:p w:rsidR="000247EB" w:rsidRPr="009355DB" w:rsidRDefault="000247EB" w:rsidP="006313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47EB" w:rsidRPr="00B46FDF" w:rsidRDefault="00ED19E4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676708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</w:t>
      </w:r>
    </w:p>
    <w:p w:rsidR="000247EB" w:rsidRPr="00B46FDF" w:rsidRDefault="005F30B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Кужмаринского</w:t>
      </w:r>
      <w:r w:rsidR="00676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</w:p>
    <w:p w:rsidR="000247EB" w:rsidRPr="00B46FDF" w:rsidRDefault="00676708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2022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</w:t>
      </w:r>
    </w:p>
    <w:p w:rsidR="000247EB" w:rsidRPr="00B46FDF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9355D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247EB" w:rsidRPr="009355D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результатам вступивших</w:t>
      </w:r>
      <w:r w:rsidR="00284E58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вления</w:t>
      </w:r>
      <w:r w:rsidR="00676708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Кужмаринского</w:t>
      </w:r>
      <w:r w:rsidR="00676708" w:rsidRPr="0093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85752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74C94" w:rsidRPr="00935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9355D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274C94" w:rsidRDefault="000247EB" w:rsidP="00284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вления</w:t>
      </w:r>
      <w:r w:rsidR="00676708" w:rsidRP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4C94" w:rsidRP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сельское поселение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вопросов правоприменительной </w:t>
      </w:r>
      <w:proofErr w:type="gramStart"/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практики</w:t>
      </w:r>
      <w:proofErr w:type="gramEnd"/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судебные акты) и их должностных лиц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осуществляется рабочей группой по рассмотрению вопрос</w:t>
      </w:r>
      <w:r w:rsidR="008B616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правоприменительной </w:t>
      </w:r>
      <w:proofErr w:type="gramStart"/>
      <w:r w:rsidR="008B616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1E7AF6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</w:t>
      </w:r>
      <w:r w:rsidR="006B27C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1 раза в квартал.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силу за отчетный квартал, процедура рассмотрения вопросов правоприменительной практики, установленная настоящим Порядком,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судебных 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  <w:proofErr w:type="gramEnd"/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Pr="00274C94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администрации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судебных актов (далее – секретарь рабочей группы). </w:t>
      </w:r>
    </w:p>
    <w:p w:rsidR="00ED27BA" w:rsidRPr="00274C94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принимавшие участие в рассмотрении судом дела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в срок не позднее 14 календарных дней со дня вступления судебного решения в законную силу направля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вынесенн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судебных актах </w:t>
      </w:r>
      <w:r w:rsidR="005A3DB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  <w:proofErr w:type="gramEnd"/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признанных судом недействительными (незаконными);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</w:t>
      </w: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лиц;</w:t>
      </w:r>
    </w:p>
    <w:p w:rsidR="0045738C" w:rsidRPr="00274C94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724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38C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 ненормативный правовой акт, решение и совершивших действия (бездействия), признанные судом недействительными (незаконными) (далее – иные сотрудники).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274C94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кварталом (при наличии судебных актов, вступивших в законную силу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квартал).</w:t>
      </w:r>
    </w:p>
    <w:p w:rsidR="00F475F5" w:rsidRPr="00274C94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107D2C" w:rsidRPr="00274C94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рабочей группы приглашаются иные сотрудники для дачи пояснений по рассматриваемым вопросам.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не </w:t>
      </w:r>
      <w:proofErr w:type="gramStart"/>
      <w:r w:rsidR="00B6198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6198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заседания рабочей группы.</w:t>
      </w:r>
    </w:p>
    <w:p w:rsidR="00284E58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 числа месяца, следующего за отчетным кварталом.</w:t>
      </w:r>
    </w:p>
    <w:p w:rsidR="00F475F5" w:rsidRPr="00274C94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рабочей группы имеет один голос.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Pr="00274C94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274C94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судебные решения, в том числе основания признания </w:t>
      </w: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</w:t>
      </w: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274C94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таких мер.</w:t>
      </w:r>
    </w:p>
    <w:p w:rsidR="00284E58" w:rsidRPr="00274C94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274C94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274C94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="005D611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на официальном сайте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bookmarkStart w:id="0" w:name="_GoBack"/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bookmarkEnd w:id="0"/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рабочих дней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274C94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</w:t>
      </w:r>
      <w:r w:rsidR="00516709" w:rsidRPr="00274C94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 w:rsidRPr="00274C94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</w:t>
      </w:r>
      <w:r w:rsidR="00516709" w:rsidRPr="00274C9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9355DB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6709" w:rsidRPr="00274C94">
        <w:rPr>
          <w:rFonts w:ascii="Times New Roman" w:hAnsi="Times New Roman" w:cs="Times New Roman"/>
          <w:sz w:val="28"/>
          <w:szCs w:val="28"/>
        </w:rPr>
        <w:t>для дальнейшей работы в соответствии с компетенцией.</w:t>
      </w:r>
    </w:p>
    <w:p w:rsidR="00284E58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74C94">
        <w:rPr>
          <w:rFonts w:ascii="Times New Roman" w:hAnsi="Times New Roman" w:cs="Times New Roman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9355DB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4C94">
        <w:rPr>
          <w:rFonts w:ascii="Times New Roman" w:hAnsi="Times New Roman" w:cs="Times New Roman"/>
          <w:sz w:val="28"/>
          <w:szCs w:val="28"/>
        </w:rPr>
        <w:t>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</w:t>
      </w:r>
      <w:proofErr w:type="gramEnd"/>
      <w:r w:rsidRPr="00274C94">
        <w:rPr>
          <w:rFonts w:ascii="Times New Roman" w:hAnsi="Times New Roman" w:cs="Times New Roman"/>
          <w:sz w:val="28"/>
          <w:szCs w:val="28"/>
        </w:rPr>
        <w:t xml:space="preserve"> для выработки дальнейших мер по профилактике и предотвращению коррупции.</w:t>
      </w:r>
    </w:p>
    <w:p w:rsidR="00C146EA" w:rsidRPr="00274C94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444E4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44E4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7EB" w:rsidRPr="00B46FDF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прилагаемые к нему копии судебных актов, а также иные материалы, явившиеся предметом рассмотрения рабочей группы,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616C32" w:rsidRPr="000C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EB" w:rsidRPr="00B46FDF" w:rsidSect="00D22D57">
          <w:headerReference w:type="default" r:id="rId7"/>
          <w:pgSz w:w="11906" w:h="16838"/>
          <w:pgMar w:top="1134" w:right="1134" w:bottom="1134" w:left="1418" w:header="709" w:footer="709" w:gutter="0"/>
          <w:cols w:space="708"/>
          <w:titlePg/>
          <w:docGrid w:linePitch="381"/>
        </w:sectPr>
      </w:pP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202__ г. № ____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рассмотрению вопросов правоприменительной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34"/>
        <w:gridCol w:w="5670"/>
        <w:gridCol w:w="425"/>
        <w:gridCol w:w="2941"/>
      </w:tblGrid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274C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5F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Кужмаринского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муниципального района Республики Марий Эл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5F30BB" w:rsidP="005F30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Кужмаринской сельской администрации</w:t>
            </w:r>
            <w:r w:rsidR="0027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7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="0027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оветского муниципального района Республики Марий Эл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</w:tr>
      <w:tr w:rsidR="005F30BB" w:rsidTr="00274C94">
        <w:tc>
          <w:tcPr>
            <w:tcW w:w="534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30BB" w:rsidRDefault="005F30BB" w:rsidP="00AA1C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Кужмаринской сельской администрации</w:t>
            </w:r>
          </w:p>
        </w:tc>
        <w:tc>
          <w:tcPr>
            <w:tcW w:w="425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5F30BB" w:rsidTr="00274C94">
        <w:tc>
          <w:tcPr>
            <w:tcW w:w="534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30BB" w:rsidRDefault="005F30BB" w:rsidP="00AA1C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Кужмаринской сельской администрации</w:t>
            </w:r>
          </w:p>
        </w:tc>
        <w:tc>
          <w:tcPr>
            <w:tcW w:w="425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</w:t>
            </w: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Кужмаринской сельской администрации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BB" w:rsidTr="00274C94">
        <w:tc>
          <w:tcPr>
            <w:tcW w:w="534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30BB" w:rsidRPr="00274C94" w:rsidRDefault="005F30BB" w:rsidP="00AA1C55">
            <w:pPr>
              <w:widowControl w:val="0"/>
              <w:tabs>
                <w:tab w:val="right" w:pos="545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правового отдела администрации Советского муниципального района Республики Марий Эл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BB" w:rsidTr="00274C94">
        <w:tc>
          <w:tcPr>
            <w:tcW w:w="534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30BB" w:rsidRDefault="005F30BB" w:rsidP="00AA1C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правового отдела администрации Советского муниципального района Республики Марий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 (по согласованию)</w:t>
            </w:r>
          </w:p>
        </w:tc>
        <w:tc>
          <w:tcPr>
            <w:tcW w:w="425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47EB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24" w:rsidRDefault="004B1224" w:rsidP="000247EB">
      <w:pPr>
        <w:spacing w:after="0" w:line="240" w:lineRule="auto"/>
      </w:pPr>
      <w:r>
        <w:separator/>
      </w:r>
    </w:p>
  </w:endnote>
  <w:endnote w:type="continuationSeparator" w:id="0">
    <w:p w:rsidR="004B1224" w:rsidRDefault="004B1224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24" w:rsidRDefault="004B1224" w:rsidP="000247EB">
      <w:pPr>
        <w:spacing w:after="0" w:line="240" w:lineRule="auto"/>
      </w:pPr>
      <w:r>
        <w:separator/>
      </w:r>
    </w:p>
  </w:footnote>
  <w:footnote w:type="continuationSeparator" w:id="0">
    <w:p w:rsidR="004B1224" w:rsidRDefault="004B1224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87809"/>
      <w:docPartObj>
        <w:docPartGallery w:val="Page Numbers (Top of Page)"/>
        <w:docPartUnique/>
      </w:docPartObj>
    </w:sdtPr>
    <w:sdtContent>
      <w:p w:rsidR="000247EB" w:rsidRDefault="00522E3B" w:rsidP="00D22D57">
        <w:pPr>
          <w:pStyle w:val="a6"/>
          <w:jc w:val="right"/>
        </w:pPr>
        <w:r>
          <w:fldChar w:fldCharType="begin"/>
        </w:r>
        <w:r w:rsidR="000247EB">
          <w:instrText>PAGE   \* MERGEFORMAT</w:instrText>
        </w:r>
        <w:r>
          <w:fldChar w:fldCharType="separate"/>
        </w:r>
        <w:r w:rsidR="005F30BB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7EB"/>
    <w:rsid w:val="00012E06"/>
    <w:rsid w:val="000247EB"/>
    <w:rsid w:val="000C08A1"/>
    <w:rsid w:val="00107D2C"/>
    <w:rsid w:val="001A0927"/>
    <w:rsid w:val="001E50E1"/>
    <w:rsid w:val="001E7AF6"/>
    <w:rsid w:val="00274C94"/>
    <w:rsid w:val="00284E58"/>
    <w:rsid w:val="002A0DB4"/>
    <w:rsid w:val="00444E49"/>
    <w:rsid w:val="00451DB4"/>
    <w:rsid w:val="0045738C"/>
    <w:rsid w:val="004B1224"/>
    <w:rsid w:val="00516709"/>
    <w:rsid w:val="00522E3B"/>
    <w:rsid w:val="005A03FE"/>
    <w:rsid w:val="005A3DBA"/>
    <w:rsid w:val="005D4BF6"/>
    <w:rsid w:val="005D611F"/>
    <w:rsid w:val="005F30BB"/>
    <w:rsid w:val="00616C32"/>
    <w:rsid w:val="0063134D"/>
    <w:rsid w:val="00676708"/>
    <w:rsid w:val="006B27C2"/>
    <w:rsid w:val="006E750E"/>
    <w:rsid w:val="006F678A"/>
    <w:rsid w:val="007036D0"/>
    <w:rsid w:val="00707A59"/>
    <w:rsid w:val="00707D37"/>
    <w:rsid w:val="007324F6"/>
    <w:rsid w:val="00747E31"/>
    <w:rsid w:val="007B30A4"/>
    <w:rsid w:val="007E7862"/>
    <w:rsid w:val="00893559"/>
    <w:rsid w:val="008B616F"/>
    <w:rsid w:val="009355DB"/>
    <w:rsid w:val="0098382B"/>
    <w:rsid w:val="009C61BF"/>
    <w:rsid w:val="009F58F2"/>
    <w:rsid w:val="00A0724E"/>
    <w:rsid w:val="00A5567D"/>
    <w:rsid w:val="00AB5229"/>
    <w:rsid w:val="00AD0BFB"/>
    <w:rsid w:val="00AD2038"/>
    <w:rsid w:val="00AF3A80"/>
    <w:rsid w:val="00B008AA"/>
    <w:rsid w:val="00B46FDF"/>
    <w:rsid w:val="00B6198A"/>
    <w:rsid w:val="00BB0D09"/>
    <w:rsid w:val="00BD761A"/>
    <w:rsid w:val="00C146EA"/>
    <w:rsid w:val="00CC5E29"/>
    <w:rsid w:val="00D73FDD"/>
    <w:rsid w:val="00D85752"/>
    <w:rsid w:val="00E03716"/>
    <w:rsid w:val="00E813C7"/>
    <w:rsid w:val="00ED025F"/>
    <w:rsid w:val="00ED19E4"/>
    <w:rsid w:val="00ED27BA"/>
    <w:rsid w:val="00F475F5"/>
    <w:rsid w:val="00FA5FB3"/>
    <w:rsid w:val="00FC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table" w:styleId="a9">
    <w:name w:val="Table Grid"/>
    <w:basedOn w:val="a1"/>
    <w:uiPriority w:val="59"/>
    <w:rsid w:val="0027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313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63134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c">
    <w:name w:val="Содержимое таблицы"/>
    <w:basedOn w:val="a"/>
    <w:rsid w:val="00631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d">
    <w:name w:val="Заголовок таблицы"/>
    <w:basedOn w:val="ac"/>
    <w:rsid w:val="0063134D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CAC0-65A3-414C-9482-CECCE329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5</cp:revision>
  <dcterms:created xsi:type="dcterms:W3CDTF">2022-08-10T15:19:00Z</dcterms:created>
  <dcterms:modified xsi:type="dcterms:W3CDTF">2022-08-22T06:45:00Z</dcterms:modified>
</cp:coreProperties>
</file>