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B" w:rsidRDefault="00735D0B" w:rsidP="00735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35D0B" w:rsidRDefault="00735D0B" w:rsidP="00735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эффективности реализации долгосрочных целевых программ </w:t>
      </w:r>
      <w:r>
        <w:rPr>
          <w:b/>
          <w:sz w:val="24"/>
          <w:szCs w:val="24"/>
        </w:rPr>
        <w:t>(«МЦП комплексного развития социальной инфраструктуры Емешевского  сельского поселения Горномарийского района Республики Марий Эл                                                           на 2016-2030 год)</w:t>
      </w:r>
    </w:p>
    <w:p w:rsidR="00735D0B" w:rsidRDefault="00BC2165" w:rsidP="00735D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отчетный 2018</w:t>
      </w:r>
      <w:r w:rsidR="00735D0B">
        <w:rPr>
          <w:b/>
          <w:sz w:val="28"/>
          <w:szCs w:val="28"/>
        </w:rPr>
        <w:t xml:space="preserve"> финансовый год </w:t>
      </w:r>
    </w:p>
    <w:tbl>
      <w:tblPr>
        <w:tblW w:w="9480" w:type="dxa"/>
        <w:tblInd w:w="-30" w:type="dxa"/>
        <w:tblLayout w:type="fixed"/>
        <w:tblLook w:val="04A0"/>
      </w:tblPr>
      <w:tblGrid>
        <w:gridCol w:w="2548"/>
        <w:gridCol w:w="481"/>
        <w:gridCol w:w="3197"/>
        <w:gridCol w:w="3254"/>
      </w:tblGrid>
      <w:tr w:rsidR="00735D0B" w:rsidTr="00735D0B">
        <w:trPr>
          <w:cantSplit/>
          <w:trHeight w:hRule="exact" w:val="1666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35D0B" w:rsidRDefault="00735D0B">
            <w:pPr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предусмотренные программой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достигнутые конечные результаты</w:t>
            </w:r>
          </w:p>
        </w:tc>
      </w:tr>
      <w:tr w:rsidR="00735D0B" w:rsidTr="00735D0B">
        <w:trPr>
          <w:cantSplit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D0B" w:rsidRDefault="00735D0B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5D0B" w:rsidRDefault="00735D0B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165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C2165">
              <w:rPr>
                <w:sz w:val="24"/>
                <w:szCs w:val="24"/>
              </w:rPr>
              <w:t>8</w:t>
            </w:r>
          </w:p>
        </w:tc>
      </w:tr>
      <w:tr w:rsidR="00735D0B" w:rsidTr="00735D0B">
        <w:trPr>
          <w:trHeight w:val="191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социальной инфраструктуры, образования, здравоохранения, культуры, физкультуры и спорта  </w:t>
            </w:r>
            <w:r>
              <w:rPr>
                <w:iCs/>
                <w:sz w:val="24"/>
                <w:szCs w:val="24"/>
              </w:rPr>
              <w:t>по развитию и укреплению данных отраслей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BC21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B" w:rsidRDefault="00BC21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</w:tr>
      <w:tr w:rsidR="00735D0B" w:rsidTr="00735D0B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личного подворья граждан, как источника доходов населения.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35D0B" w:rsidTr="00735D0B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pStyle w:val="conspluscell"/>
            </w:pPr>
            <w:r>
              <w:t>Содействие в обеспечении социальной поддержки слабозащищенным слоям населения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5D0B" w:rsidTr="00735D0B">
        <w:trPr>
          <w:trHeight w:val="123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35D0B" w:rsidTr="00735D0B">
        <w:trPr>
          <w:trHeight w:val="123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5D0B" w:rsidRDefault="00735D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долгосрочной целевой программы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D0B" w:rsidRDefault="00735D0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D0B" w:rsidRDefault="00BC21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0B" w:rsidRDefault="00BC21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735D0B" w:rsidRDefault="00735D0B" w:rsidP="00735D0B">
      <w:pPr>
        <w:jc w:val="center"/>
        <w:rPr>
          <w:sz w:val="28"/>
          <w:szCs w:val="28"/>
        </w:rPr>
      </w:pPr>
    </w:p>
    <w:p w:rsidR="00735D0B" w:rsidRDefault="00735D0B" w:rsidP="00735D0B">
      <w:pPr>
        <w:jc w:val="center"/>
        <w:rPr>
          <w:sz w:val="28"/>
          <w:szCs w:val="28"/>
        </w:rPr>
      </w:pPr>
    </w:p>
    <w:p w:rsidR="00735D0B" w:rsidRDefault="00735D0B" w:rsidP="00735D0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</w:t>
      </w:r>
      <w:r w:rsidR="00784A3E">
        <w:rPr>
          <w:sz w:val="28"/>
          <w:szCs w:val="28"/>
        </w:rPr>
        <w:t xml:space="preserve">                  В.Н. Степанов</w:t>
      </w:r>
    </w:p>
    <w:p w:rsidR="001A486E" w:rsidRDefault="001A486E" w:rsidP="001A486E">
      <w:pPr>
        <w:rPr>
          <w:sz w:val="28"/>
          <w:szCs w:val="28"/>
        </w:rPr>
      </w:pPr>
    </w:p>
    <w:p w:rsidR="00735D0B" w:rsidRDefault="00735D0B" w:rsidP="001A486E">
      <w:pPr>
        <w:pStyle w:val="Style15"/>
        <w:widowControl/>
        <w:spacing w:line="240" w:lineRule="auto"/>
        <w:rPr>
          <w:rStyle w:val="FontStyle48"/>
          <w:b/>
          <w:sz w:val="28"/>
          <w:szCs w:val="28"/>
        </w:rPr>
      </w:pPr>
    </w:p>
    <w:p w:rsidR="00735D0B" w:rsidRDefault="00735D0B" w:rsidP="001A486E">
      <w:pPr>
        <w:pStyle w:val="Style15"/>
        <w:widowControl/>
        <w:spacing w:line="240" w:lineRule="auto"/>
        <w:rPr>
          <w:rStyle w:val="FontStyle48"/>
          <w:b/>
          <w:sz w:val="28"/>
          <w:szCs w:val="28"/>
        </w:rPr>
      </w:pPr>
    </w:p>
    <w:p w:rsidR="00735D0B" w:rsidRDefault="00735D0B" w:rsidP="001A486E">
      <w:pPr>
        <w:pStyle w:val="Style15"/>
        <w:widowControl/>
        <w:spacing w:line="240" w:lineRule="auto"/>
        <w:rPr>
          <w:rStyle w:val="FontStyle48"/>
          <w:b/>
          <w:sz w:val="28"/>
          <w:szCs w:val="28"/>
        </w:rPr>
      </w:pPr>
    </w:p>
    <w:p w:rsidR="00735D0B" w:rsidRDefault="00735D0B" w:rsidP="001A486E">
      <w:pPr>
        <w:pStyle w:val="Style15"/>
        <w:widowControl/>
        <w:spacing w:line="240" w:lineRule="auto"/>
        <w:rPr>
          <w:rStyle w:val="FontStyle48"/>
          <w:b/>
          <w:sz w:val="28"/>
          <w:szCs w:val="28"/>
        </w:rPr>
      </w:pPr>
    </w:p>
    <w:p w:rsidR="001A486E" w:rsidRDefault="001A486E" w:rsidP="001A486E">
      <w:pPr>
        <w:pStyle w:val="Style15"/>
        <w:widowControl/>
        <w:spacing w:line="240" w:lineRule="auto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lastRenderedPageBreak/>
        <w:t>ПОРЯДОК</w:t>
      </w:r>
    </w:p>
    <w:p w:rsidR="001A486E" w:rsidRDefault="001A486E" w:rsidP="001A486E">
      <w:pPr>
        <w:pStyle w:val="Style15"/>
        <w:widowControl/>
        <w:spacing w:line="240" w:lineRule="auto"/>
        <w:ind w:right="-15"/>
        <w:rPr>
          <w:rStyle w:val="FontStyle48"/>
          <w:b/>
          <w:sz w:val="28"/>
          <w:szCs w:val="28"/>
          <w:u w:val="single"/>
        </w:rPr>
      </w:pPr>
      <w:r>
        <w:rPr>
          <w:rStyle w:val="FontStyle48"/>
          <w:b/>
          <w:sz w:val="28"/>
          <w:szCs w:val="28"/>
        </w:rPr>
        <w:t>проведения и критерии оценки эффективности реализации долгосрочных целевых программ</w:t>
      </w:r>
    </w:p>
    <w:p w:rsidR="001A486E" w:rsidRDefault="001A486E" w:rsidP="001A486E">
      <w:pPr>
        <w:pStyle w:val="Style15"/>
        <w:widowControl/>
        <w:spacing w:line="240" w:lineRule="auto"/>
        <w:ind w:left="1301" w:right="1325"/>
      </w:pPr>
    </w:p>
    <w:p w:rsidR="001A486E" w:rsidRDefault="001A486E" w:rsidP="001A486E">
      <w:pPr>
        <w:pStyle w:val="Style15"/>
        <w:widowControl/>
        <w:spacing w:line="240" w:lineRule="auto"/>
        <w:ind w:left="1301" w:right="1325"/>
        <w:rPr>
          <w:b/>
          <w:sz w:val="28"/>
          <w:szCs w:val="28"/>
        </w:rPr>
      </w:pPr>
    </w:p>
    <w:p w:rsidR="001A486E" w:rsidRDefault="001A486E" w:rsidP="001A486E">
      <w:pPr>
        <w:pStyle w:val="Style37"/>
        <w:widowControl/>
        <w:numPr>
          <w:ilvl w:val="0"/>
          <w:numId w:val="1"/>
        </w:numPr>
        <w:tabs>
          <w:tab w:val="left" w:pos="-426"/>
          <w:tab w:val="left" w:pos="955"/>
        </w:tabs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Порядок проведения и критерии оценки эффективности реализации долгосрочных целевых программ определяют правила проведения ежегодной оценки эффективности мероприятий долгосрочных целевых программ.</w:t>
      </w:r>
    </w:p>
    <w:p w:rsidR="001A486E" w:rsidRDefault="001A486E" w:rsidP="001A486E">
      <w:pPr>
        <w:pStyle w:val="Style37"/>
        <w:widowControl/>
        <w:numPr>
          <w:ilvl w:val="0"/>
          <w:numId w:val="1"/>
        </w:numPr>
        <w:tabs>
          <w:tab w:val="left" w:pos="-426"/>
          <w:tab w:val="left" w:pos="955"/>
        </w:tabs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Оценка эффективности долгосрочных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1A486E" w:rsidRDefault="001A486E" w:rsidP="001A486E">
      <w:pPr>
        <w:pStyle w:val="Style37"/>
        <w:widowControl/>
        <w:numPr>
          <w:ilvl w:val="0"/>
          <w:numId w:val="1"/>
        </w:numPr>
        <w:tabs>
          <w:tab w:val="left" w:pos="-426"/>
          <w:tab w:val="left" w:pos="955"/>
        </w:tabs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Оценка эффективности реализации долгосрочных целевых программ осуществляется муниципальным заказчиком (муниципальным заказчиком-координатором) по годам и этапам в течение всего срока реализации программы.</w:t>
      </w:r>
    </w:p>
    <w:p w:rsidR="001A486E" w:rsidRDefault="001A486E" w:rsidP="001A486E">
      <w:pPr>
        <w:pStyle w:val="Style37"/>
        <w:widowControl/>
        <w:numPr>
          <w:ilvl w:val="0"/>
          <w:numId w:val="1"/>
        </w:numPr>
        <w:tabs>
          <w:tab w:val="left" w:pos="-426"/>
          <w:tab w:val="left" w:pos="955"/>
        </w:tabs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Муниципальный заказчик (муниципальный заказчик-координатор) программы представляет в составе ежегодного отчета о ходе работ по долгосрочной целевой программе информацию об оценке эффективности реализации долгосрочной целевой программы по форме в соответствии с приложением к настоящему Порядку.</w:t>
      </w:r>
    </w:p>
    <w:p w:rsidR="001A486E" w:rsidRDefault="001A486E" w:rsidP="001A486E">
      <w:pPr>
        <w:pStyle w:val="Style29"/>
        <w:widowControl/>
        <w:tabs>
          <w:tab w:val="left" w:pos="-426"/>
        </w:tabs>
        <w:spacing w:line="240" w:lineRule="auto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Муниципальный заказчик (муниципальный заказчик-координатор) представляет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1A486E" w:rsidRDefault="001A486E" w:rsidP="001A486E">
      <w:pPr>
        <w:pStyle w:val="Style37"/>
        <w:widowControl/>
        <w:tabs>
          <w:tab w:val="left" w:pos="955"/>
        </w:tabs>
        <w:spacing w:line="24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5.</w:t>
      </w:r>
      <w:r>
        <w:rPr>
          <w:rStyle w:val="FontStyle48"/>
          <w:sz w:val="28"/>
          <w:szCs w:val="28"/>
        </w:rPr>
        <w:tab/>
        <w:t>Муниципальный заказчик (муниципальный заказчик-координатор) для проведения оценки эффективности реализации долгосрочной целевой программы использует целевые индикаторы и показатели, содержащиеся в паспорте 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1A486E" w:rsidRDefault="001A486E" w:rsidP="001A486E">
      <w:pPr>
        <w:pStyle w:val="Style37"/>
        <w:widowControl/>
        <w:spacing w:line="240" w:lineRule="auto"/>
        <w:ind w:firstLine="706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В процессе проведения оценки эффективности реализации долгосрочных целевых программ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1A486E" w:rsidRDefault="001A486E" w:rsidP="001A486E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6.</w:t>
      </w:r>
      <w:r>
        <w:rPr>
          <w:rStyle w:val="FontStyle48"/>
          <w:sz w:val="28"/>
          <w:szCs w:val="28"/>
        </w:rPr>
        <w:tab/>
        <w:t>Оценка эффективности реализации долгосрочных целевых программ должна содержать общую оценку вклада долгосрочной целевой программы в экономическое развитие поселения, а также оценку эффективности расходования бюджетных средств. Общая оценка вклада долгосрочной целевой программы в экономическое развитие поселения должна содержать оценку социальных, экономических и (или) экологических последствий от реализации долгосрочной целевой программы.</w:t>
      </w:r>
    </w:p>
    <w:p w:rsidR="001A486E" w:rsidRDefault="001A486E" w:rsidP="001A486E">
      <w:pPr>
        <w:pStyle w:val="Style37"/>
        <w:widowControl/>
        <w:spacing w:line="24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Оценка вклада долгосрочной целевой программы в экономическое развитие поселения производится по следующим направлениям:</w:t>
      </w:r>
    </w:p>
    <w:p w:rsidR="001A486E" w:rsidRDefault="001A486E" w:rsidP="001A486E">
      <w:pPr>
        <w:pStyle w:val="Style39"/>
        <w:widowControl/>
        <w:numPr>
          <w:ilvl w:val="0"/>
          <w:numId w:val="2"/>
        </w:numPr>
        <w:tabs>
          <w:tab w:val="left" w:pos="706"/>
          <w:tab w:val="left" w:pos="998"/>
        </w:tabs>
        <w:spacing w:line="240" w:lineRule="auto"/>
        <w:ind w:left="706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степень достижения целей;</w:t>
      </w:r>
    </w:p>
    <w:p w:rsidR="001A486E" w:rsidRDefault="001A486E" w:rsidP="001A486E">
      <w:pPr>
        <w:pStyle w:val="Style39"/>
        <w:widowControl/>
        <w:numPr>
          <w:ilvl w:val="0"/>
          <w:numId w:val="2"/>
        </w:numPr>
        <w:tabs>
          <w:tab w:val="left" w:pos="706"/>
          <w:tab w:val="left" w:pos="998"/>
        </w:tabs>
        <w:spacing w:line="240" w:lineRule="auto"/>
        <w:ind w:left="706"/>
        <w:jc w:val="lef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степень соответствия запланированному уровню затрат.</w:t>
      </w:r>
    </w:p>
    <w:p w:rsidR="001A486E" w:rsidRDefault="001A486E" w:rsidP="001A486E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7.</w:t>
      </w:r>
      <w:r>
        <w:rPr>
          <w:rStyle w:val="FontStyle48"/>
          <w:sz w:val="28"/>
          <w:szCs w:val="28"/>
        </w:rPr>
        <w:tab/>
        <w:t>Бюджетная эффективность долгосрочной целевой программы определяется как изменение финансовых поступлений в бюджеты всех уровней вследствие реализации долгосрочной целевой программы и изменение объема и состава расходных обязательств.</w:t>
      </w:r>
    </w:p>
    <w:p w:rsidR="001A486E" w:rsidRDefault="001A486E" w:rsidP="001A486E">
      <w:pPr>
        <w:pStyle w:val="Style37"/>
        <w:widowControl/>
        <w:spacing w:line="240" w:lineRule="auto"/>
        <w:ind w:firstLine="686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Оценка бюджетной эффективности проводится раздельно по всем уровням бюджетной системы.</w:t>
      </w:r>
    </w:p>
    <w:p w:rsidR="001A486E" w:rsidRDefault="001A486E" w:rsidP="001A486E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8.</w:t>
      </w:r>
      <w:r>
        <w:rPr>
          <w:rStyle w:val="FontStyle48"/>
          <w:sz w:val="28"/>
          <w:szCs w:val="28"/>
        </w:rPr>
        <w:tab/>
        <w:t>Информация, представляемая муниципальным заказчиком (муниципальным заказчиком-координатором), об оценке эффективности реализации программы в составе ежегодного отчета о ходе работ по долгосрочной целевой программе анализируется отделом финансирования и бухгалтерского учета. По результатам указанной оценки отдел финансирования и бухгалтерского учета подготавливает заключение о целесообразности дальнейшего финансирования программы.</w:t>
      </w:r>
    </w:p>
    <w:p w:rsidR="001A486E" w:rsidRDefault="001A486E" w:rsidP="001A486E">
      <w:pPr>
        <w:pStyle w:val="Style37"/>
        <w:widowControl/>
        <w:spacing w:line="240" w:lineRule="auto"/>
        <w:ind w:firstLine="686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Отдел финансирования и бухгалтерского учета готовит сводную аналитическую записку об эффективности реализации долгосрочных целевых программ за истекший отчетный год и представляет на рассмотрение главе администрации сельского поселения на рассмотрение и согласование показателей результативности деятельности главных распорядителей средств бюджета сельского поселения (далее - администрация) в срок, определенный Порядком и сроками разработки прогноза социально-экономического развития сельского поселения, составления проекта бюджета сельского поселения и прогноза консолидированного бюджета сельского поселения на плановый период.</w:t>
      </w:r>
    </w:p>
    <w:p w:rsidR="001A486E" w:rsidRDefault="001A486E" w:rsidP="001A486E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9.</w:t>
      </w:r>
      <w:r>
        <w:rPr>
          <w:rStyle w:val="FontStyle48"/>
          <w:sz w:val="28"/>
          <w:szCs w:val="28"/>
        </w:rPr>
        <w:tab/>
        <w:t>Отдел финансирования и бухгалтерского учета вправе внести на рассмотрение главе администрации сельского поселения следующие проекты решений по каждой долгосрочной целевой программе, реализуемой муниципальным заказчиком (муниципальным заказчиком- координатором):</w:t>
      </w:r>
    </w:p>
    <w:p w:rsidR="001A486E" w:rsidRDefault="001A486E" w:rsidP="001A486E">
      <w:pPr>
        <w:pStyle w:val="Style37"/>
        <w:widowControl/>
        <w:spacing w:line="240" w:lineRule="auto"/>
        <w:ind w:firstLine="682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 приостановлении реализации действующих долгосрочных целевых программ с приостановлением финансирования из бюджета сельского поселения;</w:t>
      </w:r>
    </w:p>
    <w:p w:rsidR="001A486E" w:rsidRDefault="001A486E" w:rsidP="001A486E">
      <w:pPr>
        <w:pStyle w:val="Style39"/>
        <w:widowControl/>
        <w:spacing w:line="240" w:lineRule="auto"/>
        <w:ind w:firstLine="696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 прекращении реализации действующих долгосрочных целевых программ с исключением расходов на их реализацию;</w:t>
      </w:r>
    </w:p>
    <w:p w:rsidR="001A486E" w:rsidRDefault="001A486E" w:rsidP="001A486E">
      <w:pPr>
        <w:pStyle w:val="Style39"/>
        <w:widowControl/>
        <w:spacing w:line="240" w:lineRule="auto"/>
        <w:ind w:firstLine="70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 направлении на доработку действующих долгосрочных целевых программ с приостановлением финансирования из бюджета сельского поселения.</w:t>
      </w:r>
    </w:p>
    <w:p w:rsidR="001A486E" w:rsidRDefault="001A486E" w:rsidP="001A486E">
      <w:pPr>
        <w:pStyle w:val="Style39"/>
        <w:widowControl/>
        <w:spacing w:line="240" w:lineRule="auto"/>
        <w:ind w:firstLine="686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Решения оформляются протоколом и являются основанием для подготовки в установленном порядке соответствующего проекта постановления администрации сельского поселения.</w:t>
      </w:r>
    </w:p>
    <w:p w:rsidR="00D728AC" w:rsidRDefault="00D728AC"/>
    <w:sectPr w:rsidR="00D728AC" w:rsidSect="00D7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86E"/>
    <w:rsid w:val="001A486E"/>
    <w:rsid w:val="003B52CE"/>
    <w:rsid w:val="003E48A5"/>
    <w:rsid w:val="00735D0B"/>
    <w:rsid w:val="00784A3E"/>
    <w:rsid w:val="00990294"/>
    <w:rsid w:val="00B92D9A"/>
    <w:rsid w:val="00BC2165"/>
    <w:rsid w:val="00CB4691"/>
    <w:rsid w:val="00D728AC"/>
    <w:rsid w:val="00F7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6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A486E"/>
    <w:pPr>
      <w:widowControl w:val="0"/>
      <w:overflowPunct/>
      <w:spacing w:line="314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rsid w:val="001A486E"/>
    <w:pPr>
      <w:widowControl w:val="0"/>
      <w:overflowPunct/>
      <w:spacing w:line="312" w:lineRule="exact"/>
      <w:ind w:firstLine="691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1A486E"/>
    <w:pPr>
      <w:widowControl w:val="0"/>
      <w:overflowPunct/>
      <w:spacing w:line="312" w:lineRule="exact"/>
      <w:ind w:firstLine="691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1A486E"/>
    <w:pPr>
      <w:widowControl w:val="0"/>
      <w:overflowPunct/>
      <w:spacing w:line="310" w:lineRule="exact"/>
      <w:ind w:firstLine="691"/>
      <w:jc w:val="both"/>
    </w:pPr>
    <w:rPr>
      <w:sz w:val="24"/>
      <w:szCs w:val="24"/>
    </w:rPr>
  </w:style>
  <w:style w:type="paragraph" w:customStyle="1" w:styleId="conspluscell">
    <w:name w:val="conspluscell"/>
    <w:basedOn w:val="a"/>
    <w:uiPriority w:val="99"/>
    <w:rsid w:val="001A486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48">
    <w:name w:val="Font Style48"/>
    <w:basedOn w:val="a0"/>
    <w:rsid w:val="001A48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XXJ7TYMEEKJ2-3871-193</_dlc_DocId>
    <_dlc_DocIdUrl xmlns="57504d04-691e-4fc4-8f09-4f19fdbe90f6">
      <Url>https://vip.gov.mari.ru/gornomari/emeshevo/_layouts/DocIdRedir.aspx?ID=XXJ7TYMEEKJ2-3871-193</Url>
      <Description>XXJ7TYMEEKJ2-3871-193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C52E3-85AB-4268-AF34-595AF79CAE56}"/>
</file>

<file path=customXml/itemProps2.xml><?xml version="1.0" encoding="utf-8"?>
<ds:datastoreItem xmlns:ds="http://schemas.openxmlformats.org/officeDocument/2006/customXml" ds:itemID="{0AEC8BD2-2C9F-443B-86A9-8BE38E3B5532}"/>
</file>

<file path=customXml/itemProps3.xml><?xml version="1.0" encoding="utf-8"?>
<ds:datastoreItem xmlns:ds="http://schemas.openxmlformats.org/officeDocument/2006/customXml" ds:itemID="{DDC397EE-0C91-48EF-BEB0-15DBD8E0BCFD}"/>
</file>

<file path=customXml/itemProps4.xml><?xml version="1.0" encoding="utf-8"?>
<ds:datastoreItem xmlns:ds="http://schemas.openxmlformats.org/officeDocument/2006/customXml" ds:itemID="{240A9F71-BD55-4380-8743-99A89D7CB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9</cp:revision>
  <dcterms:created xsi:type="dcterms:W3CDTF">2018-10-25T11:32:00Z</dcterms:created>
  <dcterms:modified xsi:type="dcterms:W3CDTF">2019-01-25T06:07:00Z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9a84760d-1457-42c7-a19a-43f1d681b058</vt:lpwstr>
  </property>
</Properties>
</file>