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3"/>
    <w:rsid w:val="00456F7F"/>
    <w:rsid w:val="005D1E19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5f748f47477198b2cd2ed37ad87c8784_XL.pn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XXJ7TYMEEKJ2-3299-1578</_dlc_DocId>
    <_dlc_DocIdUrl xmlns="57504d04-691e-4fc4-8f09-4f19fdbe90f6">
      <Url>https://vip.gov.mari.ru/gornomari/_layouts/DocIdRedir.aspx?ID=XXJ7TYMEEKJ2-3299-1578</Url>
      <Description>XXJ7TYMEEKJ2-3299-1578</Description>
    </_dlc_DocIdUrl>
  </documentManagement>
</p:properties>
</file>

<file path=customXml/itemProps1.xml><?xml version="1.0" encoding="utf-8"?>
<ds:datastoreItem xmlns:ds="http://schemas.openxmlformats.org/officeDocument/2006/customXml" ds:itemID="{09DB3090-6D80-4AE1-995C-569CE0820F24}"/>
</file>

<file path=customXml/itemProps2.xml><?xml version="1.0" encoding="utf-8"?>
<ds:datastoreItem xmlns:ds="http://schemas.openxmlformats.org/officeDocument/2006/customXml" ds:itemID="{6A16E1E3-6DE0-4E99-B0A7-4936B24C70E9}"/>
</file>

<file path=customXml/itemProps3.xml><?xml version="1.0" encoding="utf-8"?>
<ds:datastoreItem xmlns:ds="http://schemas.openxmlformats.org/officeDocument/2006/customXml" ds:itemID="{EEC0E33B-741C-472A-8FCB-BD45E89B52C0}"/>
</file>

<file path=customXml/itemProps4.xml><?xml version="1.0" encoding="utf-8"?>
<ds:datastoreItem xmlns:ds="http://schemas.openxmlformats.org/officeDocument/2006/customXml" ds:itemID="{2D625D42-E879-4F94-9122-53CC3B85E3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Преподаватель1</dc:creator>
  <cp:lastModifiedBy>иванычева</cp:lastModifiedBy>
  <cp:revision>7</cp:revision>
  <dcterms:created xsi:type="dcterms:W3CDTF">2020-01-14T07:43:00Z</dcterms:created>
  <dcterms:modified xsi:type="dcterms:W3CDTF">2020-01-15T06:19:00Z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728ee17b-a903-4ed4-b51d-0db100dd8710</vt:lpwstr>
  </property>
  <property fmtid="{D5CDD505-2E9C-101B-9397-08002B2CF9AE}" pid="3" name="ContentTypeId">
    <vt:lpwstr>0x010100EE733E4F973CA14087746C86BA5C7C0E</vt:lpwstr>
  </property>
</Properties>
</file>