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РЕСПУБЛИКИ МАРИЙ ЭЛ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(ПРОЕКТ)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 сессия                                                             </w:t>
        <w:tab/>
        <w:tab/>
        <w:t>№ 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Третьего созыва                                                                    __________ 2020 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Fonts w:cs="Times New Roman" w:ascii="Times New Roman" w:hAnsi="Times New Roman"/>
          <w:bCs/>
          <w:sz w:val="28"/>
          <w:szCs w:val="28"/>
        </w:rPr>
        <w:t xml:space="preserve">Положение о Контрольно-счетной комиссии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 октября 2003 г.</w:t>
        <w:br/>
        <w:t xml:space="preserve">№ 131-ФЗ «Об общих принципах организации местного самоуправления </w:t>
        <w:br/>
        <w:t xml:space="preserve">в Российской Федерации», Федеральным законом от 07 февраля 2011 г. </w:t>
        <w:br/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 Е Ш А Е 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1.  </w:t>
      </w:r>
      <w:r>
        <w:rPr>
          <w:rFonts w:cs="Times New Roman" w:ascii="Times New Roman" w:hAnsi="Times New Roman"/>
          <w:sz w:val="28"/>
          <w:szCs w:val="28"/>
        </w:rPr>
        <w:t xml:space="preserve">Утвердить Положение о Контрольно-счетной комиссии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 Новоторъяльского муниципального района Республики Марий Эл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bookmarkStart w:id="0" w:name="sub_106"/>
      <w:bookmarkEnd w:id="0"/>
      <w:r>
        <w:rPr>
          <w:rFonts w:cs="Times New Roman" w:ascii="Times New Roman" w:hAnsi="Times New Roman"/>
          <w:color w:val="00000A"/>
          <w:sz w:val="28"/>
          <w:szCs w:val="28"/>
        </w:rPr>
        <w:t>Обнародовать настоящее решение на информационн</w:t>
      </w:r>
      <w:r>
        <w:rPr>
          <w:rFonts w:cs="Times New Roman" w:ascii="Times New Roman" w:hAnsi="Times New Roman"/>
          <w:color w:val="00000A"/>
          <w:sz w:val="28"/>
          <w:szCs w:val="28"/>
        </w:rPr>
        <w:t>ых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стенд</w:t>
      </w:r>
      <w:r>
        <w:rPr>
          <w:rFonts w:cs="Times New Roman" w:ascii="Times New Roman" w:hAnsi="Times New Roman"/>
          <w:color w:val="00000A"/>
          <w:sz w:val="28"/>
          <w:szCs w:val="28"/>
        </w:rPr>
        <w:t>ах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в установленном порядке </w:t>
      </w:r>
      <w:r>
        <w:rPr>
          <w:rFonts w:cs="Times New Roman"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2"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://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mari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-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gov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ru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/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toryal</w:t>
        </w:r>
      </w:hyperlink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>(по соглашению).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В. Подрезов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26"/>
      <w:bookmarkStart w:id="2" w:name="Par26"/>
      <w:bookmarkEnd w:id="2"/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решением Собрания депутатов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от ___ ____________ 2020 г. № 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Контрольно-счетной комиссии Масканурского сельского поселения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Новоторъяльского муниципального района Республики Марий Эл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Статья 1. Статус Контрольно-счетной комиссии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Масканурского сельского поселения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Контрольно-счетная комиссия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cs="Times New Roman" w:ascii="Times New Roman" w:hAnsi="Times New Roman"/>
          <w:sz w:val="28"/>
          <w:szCs w:val="28"/>
        </w:rPr>
        <w:t xml:space="preserve"> (далее - Контрольно-счетная комиссия) формируется Собранием депутатов Масканурского сельского поселения в целях осуществления полномочий по внешнему муниципальному финансовому контролю в сфере бюджетных правоотношений и подотчетна ему.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Контрольно-счетная комиссия избирается на срок полномочий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 своей деятельности Контрольно-счетная комиссия руководствуется Конституцией Российской Федерации, законодательством Российской Федерации и Республики Марий Эл, муниципальными правовыми актами Масканурского сельского поселения и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2. Полномочия Контрольно-счетной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Контрольно-счетная комиссия Масканурского сельского поселения осуществляет основные полномочия в соответствии с частью 2 </w:t>
        <w:br/>
        <w:t>статьи 9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3. Обязанности и права Контрольно-счетной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В рамках решения своих задач Контрольно-счетная комиссия обязана представлять Собранию депутатов Масканурского сельского поселения отчеты о результатах проведенных экспертиз и проверок.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При решении своих задач Контрольно-счетная комиссия имеет право: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запрашивать у проверяемых организаций и их должностных лиц информацию и документы, их копии, необходимые для работы Контрольно-счетной комиссии в рамках ее компетенции;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требовать от должностных лиц, проверяемых организаций, объяснений относительно предмета проверок.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4. Состав Контрольно-счетной комиссии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Контрольно-счетная комиссия состоит из 3 (Трех) человек, избираемых депутатами Собрания депутатов Масканурского сельского поселения из своего состава в порядке, предусмотренном Регламентом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На должность председателя, заместителя председателя и членов контрольно-счетной комиссии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Масканурского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bookmarkStart w:id="3" w:name="l68"/>
      <w:bookmarkStart w:id="4" w:name="l69"/>
      <w:bookmarkStart w:id="5" w:name="l70"/>
      <w:bookmarkEnd w:id="3"/>
      <w:bookmarkEnd w:id="4"/>
      <w:bookmarkEnd w:id="5"/>
      <w:r>
        <w:rPr>
          <w:rFonts w:cs="Times New Roman" w:ascii="Times New Roman" w:hAnsi="Times New Roman"/>
          <w:color w:val="000000"/>
          <w:sz w:val="28"/>
          <w:szCs w:val="28"/>
        </w:rPr>
        <w:t>Председатели, заместители председателя и члены контрольно-счетной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Dtp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Председатели, заместители председателя и члены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</w:t>
        <w:br/>
        <w:t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Депутаты, избранные в состав контрольно-счетной комиссии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, Главой администрации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, руководителями судебных </w:t>
        <w:br/>
        <w:t xml:space="preserve">и правоохранительных органов, расположенных на территории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4.2. Для работы Контрольно-счетной комиссии могут привлекаться </w:t>
        <w:br/>
        <w:t xml:space="preserve">на условиях гражданско-правового договора независимые эксперты, </w:t>
        <w:br/>
        <w:t>не находящиеся в 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ведомственном</w:t>
        </w:r>
      </w:hyperlink>
      <w:r>
        <w:rPr>
          <w:rFonts w:cs="Times New Roman" w:ascii="Times New Roman" w:hAnsi="Times New Roman"/>
          <w:sz w:val="28"/>
          <w:szCs w:val="28"/>
        </w:rPr>
        <w:t> подчинении 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органов местного самоуправления</w:t>
        </w:r>
      </w:hyperlink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Независимыми экспертами могут привлекаться граждане Российской Федерации, имеющие 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высшее образование</w:t>
        </w:r>
      </w:hyperlink>
      <w:r>
        <w:rPr>
          <w:rFonts w:cs="Times New Roman" w:ascii="Times New Roman" w:hAnsi="Times New Roman"/>
          <w:sz w:val="28"/>
          <w:szCs w:val="28"/>
        </w:rPr>
        <w:t> и опыт 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профессиональной деятельности</w:t>
        </w:r>
      </w:hyperlink>
      <w:r>
        <w:rPr>
          <w:rFonts w:cs="Times New Roman" w:ascii="Times New Roman" w:hAnsi="Times New Roman"/>
          <w:sz w:val="28"/>
          <w:szCs w:val="28"/>
        </w:rPr>
        <w:t> в области 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</w:rPr>
          <w:t>государственного (муниципального) контроля</w:t>
        </w:r>
      </w:hyperlink>
      <w:r>
        <w:rPr>
          <w:rFonts w:cs="Times New Roman" w:ascii="Times New Roman" w:hAnsi="Times New Roman"/>
          <w:sz w:val="28"/>
          <w:szCs w:val="28"/>
        </w:rPr>
        <w:t>, экономики, финансов и бюджетного учета.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Оплата труда независимых экспертов осуществляется на основе гражданско-правового договора о возмездном оказании услуг, заключенного между Собранием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br/>
        <w:t>и независимым экспертом.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Финансирование расходов на 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</w:rPr>
          <w:t>оплату труда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 независимых экспертов осуществляется в пределах средств, предусмотренных в бюджете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«Масканурское сельское поселение» на указанные цели.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Ответственность независимых экспертов определяется в соответствии </w:t>
        <w:br/>
        <w:t>с действующим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5. Председатель Контрольно-счетной комиссии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Контрольно-счетной комиссии выбирается Собранием депутатов Масканурского сельского поселения на срок ее полномочий </w:t>
        <w:br/>
        <w:t xml:space="preserve">из числа членов Контрольно-счетной комиссии в порядке, определяемом Регламентом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Предложения о кандидатурах на должность председателя контрольно-счетной комиссии Масканурского сельского поселения вносятся </w:t>
        <w:br/>
        <w:t xml:space="preserve">в Собрание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 депутатами Собрания депутатов Масканурского сельского поселения - не менее одной трети от установленного числа депутатов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 Главой 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Контрольно-счетной комиссии осуществляет руководство деятельностью Контрольно-счетной комиссии и организует ее работу.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Статья 6. Регламент Контрольно-счетной комиссии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направлений деятельности Контрольно-счетной комиссии, порядок ведения дел, подготовки и проведения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Статья 7. </w:t>
      </w:r>
      <w:r>
        <w:rPr>
          <w:rFonts w:cs="Times New Roman" w:ascii="Times New Roman" w:hAnsi="Times New Roman"/>
          <w:sz w:val="28"/>
          <w:szCs w:val="28"/>
        </w:rPr>
        <w:t xml:space="preserve"> Формы и методы осуществления Контрольно-счетной комиссией внешнего муниципального  финансового контроля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Внешний муниципального  финансовый контроль осуществляется Контрольно-счетной комиссией в форме экспертно-аналитических мероприятий.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7.2. При осуществлении внешнего муниципального финансового контроля Контрольно-счетной комиссией применяются методы, установленные Бюджетным </w:t>
      </w:r>
      <w:hyperlink r:id="rId9">
        <w:r>
          <w:rPr>
            <w:rStyle w:val="Style14"/>
            <w:rFonts w:cs="Times New Roman" w:ascii="Times New Roman" w:hAnsi="Times New Roman"/>
            <w:color w:val="0000FF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7.3. Порядок осуществления Контрольно-счетной комиссией полномочий по внешнему муниципальному финансовому контролю определяется правовым актом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8. Экспертиза и заключения Контрольно-счетной комиссии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При проведении экспертно-аналитического мероприятия Контрольно-счетной комиссией составляется заключение.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Контрольно-счетная комиссия участвует в разработке заключений согласно своих полномочий.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По другим вопросам, входящим в ее компетенцию, Контрольно-счетная комиссия осуществляет подготовку и представление заключений или письменных ответов на основании: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поручений Собрания депутатов 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, оформленных соответствующими решениями;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запросов Комиссий Собрания депутатов 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запросов депутатов (депутата) Собрания депутатов 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 о рассмотрении запроса и подготовке заключения </w:t>
        <w:br/>
        <w:t>или об отказе в этом принимается Председателем Контрольно-счетной комиссии. В случае отказа Председатель Контрольно-счетной комиссии возвращает запрос с указанием причин отказа.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8.3. Заключения Контрольно-счетной комиссии не могут содержать политических оценок решений, принимаемых органами местного самоуправления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8.4. О результатах проведенных экспертно-аналитических мероприятий Контрольно-счетная комиссия информирует Собрание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, Главу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Статья 9. Представление информации по запросам </w:t>
        <w:br/>
        <w:t>Контрольно-счетной комиссии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Органы местного самоуправления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, организации, в отношении которых Контрольно-счетная комиссия вправе осуществлять внешний муниципальный финансовый контроль, </w:t>
        <w:br/>
        <w:t xml:space="preserve">их должностные лица в 10 (Десяти) дневный срок обязаны представлять </w:t>
        <w:br/>
        <w:t xml:space="preserve">в Контрольно-счетную комиссию по ее запросам информацию, документы </w:t>
        <w:br/>
        <w:t>и материалы, необходимые для проведения  экспертно-аналитических мероприятий.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10. Ответственность членов Контрольно-счетной комиссии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Члены Контрольно-счетной комиссии несут ответственность, </w:t>
        <w:br/>
        <w:t xml:space="preserve">в соответствии с действующим законодательством Российской Федерации, </w:t>
        <w:br/>
        <w:t xml:space="preserve">за достоверность проводимых Контрольно-счетной комиссией </w:t>
        <w:br/>
        <w:t>экспертно-аналитических мероприятий, представляемых в органы местного самоуправления или предаваемых гласности, а также за разглашение коммерческой и иной охраняемой законом тайны.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Start w:id="7" w:name="_GoBack"/>
      <w:bookmarkEnd w:id="7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2e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0632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063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50632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50632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2"/>
      <w:szCs w:val="20"/>
      <w:lang w:val="ru-RU" w:eastAsia="ru-RU" w:bidi="ar-SA"/>
    </w:rPr>
  </w:style>
  <w:style w:type="paragraph" w:styleId="Dtp" w:customStyle="1">
    <w:name w:val="dt-p"/>
    <w:basedOn w:val="Normal"/>
    <w:qFormat/>
    <w:rsid w:val="005063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plata_truda/" TargetMode="External"/><Relationship Id="rId13" Type="http://schemas.openxmlformats.org/officeDocument/2006/relationships/customXml" Target="../customXml/item1.xml"/><Relationship Id="rId3" Type="http://schemas.openxmlformats.org/officeDocument/2006/relationships/hyperlink" Target="https://pandia.ru/text/category/vedomstvo/" TargetMode="External"/><Relationship Id="rId7" Type="http://schemas.openxmlformats.org/officeDocument/2006/relationships/hyperlink" Target="https://pandia.ru/text/category/gosudarstvennij_kontrolmz/" TargetMode="External"/><Relationship Id="rId12" Type="http://schemas.openxmlformats.org/officeDocument/2006/relationships/theme" Target="theme/theme1.xml"/><Relationship Id="rId2" Type="http://schemas.openxmlformats.org/officeDocument/2006/relationships/hyperlink" Target="http://mari-el.gov.ru/toryal/" TargetMode="Externa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ofessionalmznaya_deyatelmznostmz/" TargetMode="External"/><Relationship Id="rId11" Type="http://schemas.openxmlformats.org/officeDocument/2006/relationships/settings" Target="settings.xml"/><Relationship Id="rId5" Type="http://schemas.openxmlformats.org/officeDocument/2006/relationships/hyperlink" Target="https://pandia.ru/text/category/visshee_obrazovanie/" TargetMode="Externa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organi_mestnogo_samoupravleniya/" TargetMode="External"/><Relationship Id="rId9" Type="http://schemas.openxmlformats.org/officeDocument/2006/relationships/hyperlink" Target="consultantplus://offline/ref=5821D990478FEF44AC541B762CF4329B5E7DCAF9C2F0DEB3A98A05F7444E4B837795A02467F1C728E1A202151A7BO9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Положение о Контрольно-счетной комиссии 
Масканурского сельского поселения
</_x041e__x043f__x0438__x0441__x0430__x043d__x0438__x0435_>
    <_x041f__x0430__x043f__x043a__x0430_ xmlns="3ae1e1ae-647b-471e-b395-9e8d49625807">2020 год</_x041f__x0430__x043f__x043a__x0430_>
    <_dlc_DocId xmlns="57504d04-691e-4fc4-8f09-4f19fdbe90f6">XXJ7TYMEEKJ2-7884-103</_dlc_DocId>
    <_dlc_DocIdUrl xmlns="57504d04-691e-4fc4-8f09-4f19fdbe90f6">
      <Url>https://vip.gov.mari.ru/toryal/_layouts/DocIdRedir.aspx?ID=XXJ7TYMEEKJ2-7884-103</Url>
      <Description>XXJ7TYMEEKJ2-7884-103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C4FD2D-D613-4847-AE58-C3C2C4D4D3FC}"/>
</file>

<file path=customXml/itemProps2.xml><?xml version="1.0" encoding="utf-8"?>
<ds:datastoreItem xmlns:ds="http://schemas.openxmlformats.org/officeDocument/2006/customXml" ds:itemID="{3B7F3740-3DEC-4F62-9DE2-E494D142E410}"/>
</file>

<file path=customXml/itemProps3.xml><?xml version="1.0" encoding="utf-8"?>
<ds:datastoreItem xmlns:ds="http://schemas.openxmlformats.org/officeDocument/2006/customXml" ds:itemID="{0B4FB950-5C99-428F-8E78-25E0786B629C}"/>
</file>

<file path=customXml/itemProps4.xml><?xml version="1.0" encoding="utf-8"?>
<ds:datastoreItem xmlns:ds="http://schemas.openxmlformats.org/officeDocument/2006/customXml" ds:itemID="{281DB9E5-C046-48A3-A299-B951AA823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LibreOffice/4.4.2.2$Windows_x86 LibreOffice_project/c4c7d32d0d49397cad38d62472b0bc8acff48dd6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revision>4</cp:revision>
  <dcterms:created xsi:type="dcterms:W3CDTF">2020-04-06T04:22:00Z</dcterms:created>
  <dcterms:modified xsi:type="dcterms:W3CDTF">2020-04-06T14:28:16Z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0x010100531825315430FA4EAC10044A6AB8D656</vt:lpwstr>
  </property>
  <property fmtid="{D5CDD505-2E9C-101B-9397-08002B2CF9AE}" pid="9" name="_dlc_DocIdItemGuid">
    <vt:lpwstr>62305dd3-f982-4442-9f9c-6e8b9a0d7691</vt:lpwstr>
  </property>
</Properties>
</file>