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7D" w:rsidRDefault="0095097D" w:rsidP="00C15044">
      <w:pPr>
        <w:tabs>
          <w:tab w:val="left" w:pos="2845"/>
        </w:tabs>
        <w:jc w:val="both"/>
      </w:pPr>
      <w:r>
        <w:tab/>
      </w:r>
    </w:p>
    <w:p w:rsidR="0095097D" w:rsidRDefault="0095097D" w:rsidP="000D62AE">
      <w:pPr>
        <w:tabs>
          <w:tab w:val="left" w:pos="2845"/>
        </w:tabs>
        <w:ind w:firstLine="720"/>
        <w:jc w:val="center"/>
        <w:rPr>
          <w:b/>
          <w:bCs/>
        </w:rPr>
      </w:pPr>
      <w:r>
        <w:rPr>
          <w:b/>
          <w:bCs/>
        </w:rPr>
        <w:t>ИНВЕСТИЦИОННОЕ ПОСЛАНИЕ</w:t>
      </w:r>
    </w:p>
    <w:p w:rsidR="0095097D" w:rsidRPr="000D62AE" w:rsidRDefault="0095097D" w:rsidP="000D62AE">
      <w:pPr>
        <w:tabs>
          <w:tab w:val="left" w:pos="2845"/>
        </w:tabs>
        <w:ind w:firstLine="720"/>
        <w:jc w:val="center"/>
        <w:rPr>
          <w:b/>
          <w:bCs/>
        </w:rPr>
      </w:pPr>
      <w:r w:rsidRPr="000D62AE">
        <w:rPr>
          <w:b/>
          <w:bCs/>
        </w:rPr>
        <w:t>главы администрации муниципального образования «Сернурский муниципальный район»</w:t>
      </w:r>
    </w:p>
    <w:p w:rsidR="0095097D" w:rsidRDefault="0095097D" w:rsidP="002659A6">
      <w:pPr>
        <w:rPr>
          <w:b/>
          <w:bCs/>
        </w:rPr>
      </w:pPr>
      <w:bookmarkStart w:id="0" w:name="P0068"/>
      <w:bookmarkStart w:id="1" w:name="redstr122"/>
      <w:bookmarkStart w:id="2" w:name="redstr123"/>
      <w:bookmarkStart w:id="3" w:name="redstr125"/>
      <w:bookmarkStart w:id="4" w:name="redstr124"/>
      <w:bookmarkStart w:id="5" w:name="redstr126"/>
      <w:bookmarkStart w:id="6" w:name="redstr127"/>
      <w:bookmarkStart w:id="7" w:name="redstr128"/>
      <w:bookmarkStart w:id="8" w:name="redstr129"/>
      <w:bookmarkStart w:id="9" w:name="redstr130"/>
      <w:bookmarkStart w:id="10" w:name="redstr131"/>
      <w:bookmarkStart w:id="11" w:name="redstr132"/>
      <w:bookmarkStart w:id="12" w:name="redstr133"/>
      <w:bookmarkStart w:id="13" w:name="redstr134"/>
      <w:bookmarkStart w:id="14" w:name="redstr135"/>
      <w:bookmarkStart w:id="15" w:name="redstr136"/>
      <w:bookmarkStart w:id="16" w:name="redstr137"/>
      <w:bookmarkStart w:id="17" w:name="P0064"/>
      <w:bookmarkStart w:id="18" w:name="redstr121"/>
      <w:bookmarkStart w:id="19" w:name="P0062"/>
      <w:bookmarkStart w:id="20" w:name="redstr118"/>
      <w:bookmarkStart w:id="21" w:name="redstr119"/>
      <w:bookmarkStart w:id="22" w:name="redstr120"/>
      <w:bookmarkStart w:id="23" w:name="P0060"/>
      <w:bookmarkStart w:id="24" w:name="redstr115"/>
      <w:bookmarkStart w:id="25" w:name="redstr116"/>
      <w:bookmarkStart w:id="26" w:name="redstr117"/>
      <w:bookmarkStart w:id="27" w:name="P005E"/>
      <w:bookmarkStart w:id="28" w:name="redstr114"/>
      <w:bookmarkStart w:id="29" w:name="P005C"/>
      <w:bookmarkStart w:id="30" w:name="redstr113"/>
      <w:bookmarkStart w:id="31" w:name="P005A"/>
      <w:bookmarkStart w:id="32" w:name="redstr112"/>
      <w:bookmarkStart w:id="33" w:name="P0058"/>
      <w:bookmarkStart w:id="34" w:name="redstr111"/>
      <w:bookmarkStart w:id="35" w:name="P0056"/>
      <w:bookmarkStart w:id="36" w:name="redstr108"/>
      <w:bookmarkStart w:id="37" w:name="redstr109"/>
      <w:bookmarkStart w:id="38" w:name="redstr110"/>
      <w:bookmarkStart w:id="39" w:name="P0054"/>
      <w:bookmarkStart w:id="40" w:name="redstr107"/>
      <w:bookmarkStart w:id="41" w:name="P0052"/>
      <w:bookmarkStart w:id="42" w:name="redstr106"/>
      <w:bookmarkStart w:id="43" w:name="P0050"/>
      <w:bookmarkStart w:id="44" w:name="redstr105"/>
      <w:bookmarkStart w:id="45" w:name="P004E"/>
      <w:bookmarkStart w:id="46" w:name="P004C"/>
      <w:bookmarkStart w:id="47" w:name="P0048"/>
      <w:bookmarkStart w:id="48" w:name="redstr104"/>
      <w:bookmarkStart w:id="49" w:name="P0047"/>
      <w:bookmarkStart w:id="50" w:name="redstr103"/>
      <w:bookmarkStart w:id="51" w:name="redstr101"/>
      <w:bookmarkStart w:id="52" w:name="redstr102"/>
      <w:bookmarkStart w:id="53" w:name="P0045"/>
      <w:bookmarkStart w:id="54" w:name="redstr100"/>
      <w:bookmarkStart w:id="55" w:name="P0043"/>
      <w:bookmarkStart w:id="56" w:name="redstr99"/>
      <w:bookmarkStart w:id="57" w:name="redstr97"/>
      <w:bookmarkStart w:id="58" w:name="redstr98"/>
      <w:bookmarkStart w:id="59" w:name="P0041"/>
      <w:bookmarkStart w:id="60" w:name="redstr94"/>
      <w:bookmarkStart w:id="61" w:name="redstr95"/>
      <w:bookmarkStart w:id="62" w:name="redstr96"/>
      <w:bookmarkStart w:id="63" w:name="P003F"/>
      <w:bookmarkStart w:id="64" w:name="redstr93"/>
      <w:bookmarkStart w:id="65" w:name="P003D"/>
      <w:bookmarkStart w:id="66" w:name="redstr92"/>
      <w:bookmarkStart w:id="67" w:name="P003B"/>
      <w:bookmarkStart w:id="68" w:name="redstr65"/>
      <w:bookmarkStart w:id="69" w:name="redstr66"/>
      <w:bookmarkStart w:id="70" w:name="redstr67"/>
      <w:bookmarkStart w:id="71" w:name="redstr68"/>
      <w:bookmarkStart w:id="72" w:name="redstr69"/>
      <w:bookmarkStart w:id="73" w:name="redstr70"/>
      <w:bookmarkStart w:id="74" w:name="redstr71"/>
      <w:bookmarkStart w:id="75" w:name="redstr72"/>
      <w:bookmarkStart w:id="76" w:name="redstr73"/>
      <w:bookmarkStart w:id="77" w:name="redstr74"/>
      <w:bookmarkStart w:id="78" w:name="redstr75"/>
      <w:bookmarkStart w:id="79" w:name="redstr76"/>
      <w:bookmarkStart w:id="80" w:name="redstr77"/>
      <w:bookmarkStart w:id="81" w:name="redstr78"/>
      <w:bookmarkStart w:id="82" w:name="redstr79"/>
      <w:bookmarkStart w:id="83" w:name="redstr80"/>
      <w:bookmarkStart w:id="84" w:name="redstr81"/>
      <w:bookmarkStart w:id="85" w:name="redstr82"/>
      <w:bookmarkStart w:id="86" w:name="redstr83"/>
      <w:bookmarkStart w:id="87" w:name="redstr84"/>
      <w:bookmarkStart w:id="88" w:name="redstr85"/>
      <w:bookmarkStart w:id="89" w:name="redstr86"/>
      <w:bookmarkStart w:id="90" w:name="redstr87"/>
      <w:bookmarkStart w:id="91" w:name="redstr88"/>
      <w:bookmarkStart w:id="92" w:name="redstr89"/>
      <w:bookmarkStart w:id="93" w:name="redstr90"/>
      <w:bookmarkStart w:id="94" w:name="redstr91"/>
      <w:bookmarkStart w:id="95" w:name="P0039"/>
      <w:bookmarkStart w:id="96" w:name="P0037"/>
      <w:bookmarkStart w:id="97" w:name="redstr59"/>
      <w:bookmarkStart w:id="98" w:name="redstr60"/>
      <w:bookmarkStart w:id="99" w:name="redstr61"/>
      <w:bookmarkStart w:id="100" w:name="redstr62"/>
      <w:bookmarkStart w:id="101" w:name="redstr63"/>
      <w:bookmarkStart w:id="102" w:name="redstr64"/>
      <w:bookmarkStart w:id="103" w:name="P0033"/>
      <w:bookmarkStart w:id="104" w:name="redstr58"/>
      <w:bookmarkStart w:id="105" w:name="P0031"/>
      <w:bookmarkStart w:id="106" w:name="redstr53"/>
      <w:bookmarkStart w:id="107" w:name="redstr54"/>
      <w:bookmarkStart w:id="108" w:name="redstr55"/>
      <w:bookmarkStart w:id="109" w:name="redstr56"/>
      <w:bookmarkStart w:id="110" w:name="redstr57"/>
      <w:bookmarkStart w:id="111" w:name="P002F"/>
      <w:bookmarkStart w:id="112" w:name="redstr52"/>
      <w:bookmarkStart w:id="113" w:name="P002D"/>
      <w:bookmarkStart w:id="114" w:name="redstr25"/>
      <w:bookmarkStart w:id="115" w:name="redstr26"/>
      <w:bookmarkStart w:id="116" w:name="redstr27"/>
      <w:bookmarkStart w:id="117" w:name="redstr28"/>
      <w:bookmarkStart w:id="118" w:name="redstr29"/>
      <w:bookmarkStart w:id="119" w:name="redstr30"/>
      <w:bookmarkStart w:id="120" w:name="redstr31"/>
      <w:bookmarkStart w:id="121" w:name="redstr32"/>
      <w:bookmarkStart w:id="122" w:name="redstr33"/>
      <w:bookmarkStart w:id="123" w:name="redstr34"/>
      <w:bookmarkStart w:id="124" w:name="redstr35"/>
      <w:bookmarkStart w:id="125" w:name="redstr36"/>
      <w:bookmarkStart w:id="126" w:name="redstr37"/>
      <w:bookmarkStart w:id="127" w:name="redstr38"/>
      <w:bookmarkStart w:id="128" w:name="redstr39"/>
      <w:bookmarkStart w:id="129" w:name="redstr40"/>
      <w:bookmarkStart w:id="130" w:name="redstr41"/>
      <w:bookmarkStart w:id="131" w:name="redstr42"/>
      <w:bookmarkStart w:id="132" w:name="redstr43"/>
      <w:bookmarkStart w:id="133" w:name="redstr44"/>
      <w:bookmarkStart w:id="134" w:name="redstr45"/>
      <w:bookmarkStart w:id="135" w:name="redstr46"/>
      <w:bookmarkStart w:id="136" w:name="redstr47"/>
      <w:bookmarkStart w:id="137" w:name="redstr48"/>
      <w:bookmarkStart w:id="138" w:name="redstr49"/>
      <w:bookmarkStart w:id="139" w:name="redstr50"/>
      <w:bookmarkStart w:id="140" w:name="redstr51"/>
      <w:bookmarkStart w:id="141" w:name="P002B"/>
      <w:bookmarkStart w:id="142" w:name="redstr22"/>
      <w:bookmarkStart w:id="143" w:name="redstr23"/>
      <w:bookmarkStart w:id="144" w:name="redstr24"/>
      <w:bookmarkStart w:id="145" w:name="P0029"/>
      <w:bookmarkStart w:id="146" w:name="redstr15"/>
      <w:bookmarkStart w:id="147" w:name="redstr16"/>
      <w:bookmarkStart w:id="148" w:name="redstr17"/>
      <w:bookmarkStart w:id="149" w:name="redstr18"/>
      <w:bookmarkStart w:id="150" w:name="redstr19"/>
      <w:bookmarkStart w:id="151" w:name="redstr20"/>
      <w:bookmarkStart w:id="152" w:name="redstr21"/>
      <w:bookmarkStart w:id="153" w:name="P0027"/>
      <w:bookmarkStart w:id="154" w:name="P0025"/>
      <w:bookmarkStart w:id="155" w:name="redstr13"/>
      <w:bookmarkStart w:id="156" w:name="redstr14"/>
      <w:bookmarkStart w:id="157" w:name="P0021"/>
      <w:bookmarkStart w:id="158" w:name="redstr10"/>
      <w:bookmarkStart w:id="159" w:name="redstr11"/>
      <w:bookmarkStart w:id="160" w:name="redstr12"/>
      <w:bookmarkStart w:id="161" w:name="P001F"/>
      <w:bookmarkStart w:id="162" w:name="redstr9"/>
      <w:bookmarkStart w:id="163" w:name="P001D"/>
      <w:bookmarkStart w:id="164" w:name="redstr8"/>
      <w:bookmarkStart w:id="165" w:name="P001B"/>
      <w:bookmarkStart w:id="166" w:name="redstr7"/>
      <w:bookmarkStart w:id="167" w:name="P0017"/>
    </w:p>
    <w:p w:rsidR="0095097D" w:rsidRDefault="0095097D" w:rsidP="000D62AE">
      <w:pPr>
        <w:ind w:firstLine="709"/>
        <w:jc w:val="both"/>
      </w:pPr>
      <w:r>
        <w:t xml:space="preserve">Начиная с текущего года, мы вводим в практику новый документ – Инвестиционное послание, главная цель которого – информирование участников инвестиционного процесса о проводимой инвестиционной политике в Сернурском районе, планируемых ключевых мерах по улучшению инвестиционного климата. Это совершенно новая практика, которая станет традиционной, ежегодной и позволит  добиться существенного прогресса в вопросах взаимоотношения  органов местной власти и бизнеса. </w:t>
      </w:r>
    </w:p>
    <w:p w:rsidR="0095097D" w:rsidRDefault="0095097D" w:rsidP="000D62AE">
      <w:pPr>
        <w:ind w:firstLine="709"/>
        <w:jc w:val="both"/>
      </w:pPr>
      <w:r>
        <w:t xml:space="preserve">Привлечение инвестиций в экономику района одна из стратегических задач администрации Сернурского района. 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нам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района. Сернурский район по своим природно-климатическим условиям, производственному потенциалу, экономико-географическому положению является </w:t>
      </w:r>
      <w:proofErr w:type="spellStart"/>
      <w:r>
        <w:t>инвестиционно-привлекательным</w:t>
      </w:r>
      <w:proofErr w:type="spellEnd"/>
      <w:r>
        <w:t xml:space="preserve"> районом.</w:t>
      </w:r>
    </w:p>
    <w:p w:rsidR="0095097D" w:rsidRDefault="0095097D" w:rsidP="000D62AE">
      <w:pPr>
        <w:ind w:firstLine="709"/>
        <w:jc w:val="both"/>
      </w:pPr>
      <w:r>
        <w:t>С целью повышения инвестиционной активности района в 2015 году разработана дорожная карта по внедрению успешных практик, направленных на развитие и поддержку малого и среднего предпринимательства и снятие административных барьеров в МО «Сернурский муниципальный район». Дорожная карта  предусматривает реализацию на территории района 10 успешных практик:</w:t>
      </w:r>
    </w:p>
    <w:p w:rsidR="0095097D" w:rsidRDefault="0095097D" w:rsidP="000D62AE">
      <w:pPr>
        <w:ind w:firstLine="709"/>
        <w:jc w:val="both"/>
      </w:pPr>
      <w:r>
        <w:t>- Разработка стратегического документа развития инвестиционной деятельности на территории муниципального образования;</w:t>
      </w:r>
    </w:p>
    <w:p w:rsidR="0095097D" w:rsidRDefault="0095097D" w:rsidP="000D62AE">
      <w:pPr>
        <w:ind w:firstLine="709"/>
        <w:jc w:val="both"/>
      </w:pPr>
      <w:r>
        <w:t>- Разработка и размещение в открытом доступе инвестиционного паспорта  муниципального образования;</w:t>
      </w:r>
    </w:p>
    <w:p w:rsidR="0095097D" w:rsidRDefault="0095097D" w:rsidP="000D62AE">
      <w:pPr>
        <w:ind w:firstLine="709"/>
        <w:jc w:val="both"/>
      </w:pPr>
      <w:r>
        <w:t>- Принятие  комплекса нормативных актов, устанавливающих основные направления  инвестиционной политики муниципального образования и развития малого и среднего предпринимательства;</w:t>
      </w:r>
    </w:p>
    <w:p w:rsidR="0095097D" w:rsidRDefault="0095097D" w:rsidP="000D62AE">
      <w:pPr>
        <w:ind w:firstLine="709"/>
        <w:jc w:val="both"/>
      </w:pPr>
      <w:r>
        <w:t>- Организация сопровождения  инвестиционных проектов по принципу «одного окна»;</w:t>
      </w:r>
    </w:p>
    <w:p w:rsidR="0095097D" w:rsidRDefault="0095097D" w:rsidP="000D62AE">
      <w:pPr>
        <w:ind w:firstLine="709"/>
        <w:jc w:val="both"/>
      </w:pPr>
      <w:r>
        <w:t>- Утверждение стандартов  качества предоставления муниципальных услуг;</w:t>
      </w:r>
    </w:p>
    <w:p w:rsidR="0095097D" w:rsidRDefault="0095097D" w:rsidP="000D62AE">
      <w:pPr>
        <w:ind w:firstLine="709"/>
        <w:jc w:val="both"/>
      </w:pPr>
      <w:r>
        <w:t xml:space="preserve">- Внедрение </w:t>
      </w:r>
      <w:proofErr w:type="gramStart"/>
      <w:r>
        <w:t>системы оценки регулирующего воздействия  проектов муниципальных правовых актов</w:t>
      </w:r>
      <w:proofErr w:type="gramEnd"/>
      <w:r>
        <w:t xml:space="preserve"> и экспертизы действующих муниципальных нормативных актов, регулирующих вопросы, связанных с осуществлением  предпринимательской деятельности;</w:t>
      </w:r>
    </w:p>
    <w:p w:rsidR="0095097D" w:rsidRDefault="0095097D" w:rsidP="000D62AE">
      <w:pPr>
        <w:ind w:firstLine="709"/>
        <w:jc w:val="both"/>
      </w:pPr>
      <w:r>
        <w:t>- Ежегодное инвестиционное послание Главы муниципального образования с принятием инвестиционной декларации (инвестиционного меморандума);</w:t>
      </w:r>
    </w:p>
    <w:p w:rsidR="0095097D" w:rsidRDefault="0095097D" w:rsidP="000D62AE">
      <w:pPr>
        <w:ind w:firstLine="709"/>
        <w:jc w:val="both"/>
      </w:pPr>
      <w:r>
        <w:lastRenderedPageBreak/>
        <w:t xml:space="preserve">- Организация специализированного </w:t>
      </w:r>
      <w:proofErr w:type="spellStart"/>
      <w:r>
        <w:t>интернет-ресурса</w:t>
      </w:r>
      <w:proofErr w:type="spellEnd"/>
      <w:r>
        <w:t xml:space="preserve"> муниципального образования об инвестиционной  деятельности, обеспечивающего канал прямой  связи органов местного самоуправления с инвесторами;</w:t>
      </w:r>
    </w:p>
    <w:p w:rsidR="0095097D" w:rsidRDefault="0095097D" w:rsidP="000D62AE">
      <w:pPr>
        <w:ind w:firstLine="709"/>
        <w:jc w:val="both"/>
      </w:pPr>
      <w:r>
        <w:t>- Формирование системы информационной  и консультационной  поддержки и популяризации предпринимательской деятельности, в том числе и на базе  многофункциональных центров предоставления  государственных и муниципальных услуг;</w:t>
      </w:r>
    </w:p>
    <w:p w:rsidR="0095097D" w:rsidRDefault="0095097D" w:rsidP="000D62AE">
      <w:pPr>
        <w:ind w:firstLine="709"/>
        <w:jc w:val="both"/>
      </w:pPr>
      <w:r>
        <w:t>- Создание общественного совета  по улучшению инвестиционного климата и развитию предпринимательства при Главе муниципального образования.</w:t>
      </w:r>
    </w:p>
    <w:p w:rsidR="0095097D" w:rsidRDefault="0095097D" w:rsidP="000D62AE">
      <w:pPr>
        <w:ind w:firstLine="709"/>
        <w:jc w:val="both"/>
      </w:pPr>
      <w:r>
        <w:t>В настоящее время  администрацией  района проводится  работа по реализации намеченных мероприятий. По итогам текущего года мы  полностью внедряем   10 успешных практик.</w:t>
      </w:r>
    </w:p>
    <w:p w:rsidR="0095097D" w:rsidRDefault="0095097D" w:rsidP="000D62AE">
      <w:pPr>
        <w:ind w:firstLine="709"/>
        <w:jc w:val="both"/>
      </w:pPr>
      <w:r>
        <w:t>Также для формирования благоприятного предпринимательского и инвестиционного климата ведется реестр свободных инвестиционных площадок, доступный для ознакомления на Инвестиционном портале Республики Марий Эл.</w:t>
      </w:r>
    </w:p>
    <w:p w:rsidR="0095097D" w:rsidRDefault="0095097D" w:rsidP="000D62AE">
      <w:pPr>
        <w:ind w:firstLine="709"/>
        <w:jc w:val="both"/>
      </w:pPr>
      <w:r>
        <w:t>В 2015 году на развитие экономики и социальной сферы Сернурского района освоено 1104 млн</w:t>
      </w:r>
      <w:proofErr w:type="gramStart"/>
      <w:r>
        <w:t>.р</w:t>
      </w:r>
      <w:proofErr w:type="gramEnd"/>
      <w:r>
        <w:t>ублей инвестиций в основной капитал. В структуре инвестиций в основной капитал организаций,  не относящихся к субъектам малого предпринимательства наибольшую долю затрат занимают затраты на строительство и реконструкцию зданий. На приобретение и монтаж машин и  оборудования было направлено 39,6 млн. рублей.</w:t>
      </w:r>
    </w:p>
    <w:p w:rsidR="0095097D" w:rsidRDefault="0095097D" w:rsidP="000D62AE">
      <w:pPr>
        <w:ind w:firstLine="709"/>
        <w:jc w:val="both"/>
      </w:pPr>
      <w:r>
        <w:t xml:space="preserve">На территории Сернурского района введено индивидуального жилья 2,7 тыс.кв. метров. </w:t>
      </w:r>
    </w:p>
    <w:p w:rsidR="0095097D" w:rsidRDefault="0095097D" w:rsidP="000D62AE">
      <w:pPr>
        <w:ind w:firstLine="709"/>
        <w:jc w:val="both"/>
      </w:pPr>
      <w:r>
        <w:t>В социальной сфере построены и введены в эксплуатацию в 2015 году  3 фельдшерско-акушерских пункта на 90 посещений в смену</w:t>
      </w:r>
      <w:proofErr w:type="gramStart"/>
      <w:r>
        <w:t xml:space="preserve"> ,</w:t>
      </w:r>
      <w:proofErr w:type="gramEnd"/>
      <w:r>
        <w:t xml:space="preserve"> в текущем году строится фельдшерский здравпункт в </w:t>
      </w:r>
      <w:proofErr w:type="spellStart"/>
      <w:r>
        <w:t>д.В.Кугенер</w:t>
      </w:r>
      <w:proofErr w:type="spellEnd"/>
      <w:r>
        <w:t>.</w:t>
      </w:r>
    </w:p>
    <w:p w:rsidR="0095097D" w:rsidRPr="00BB758A" w:rsidRDefault="0095097D" w:rsidP="000D62AE">
      <w:pPr>
        <w:ind w:firstLine="709"/>
        <w:jc w:val="both"/>
      </w:pPr>
      <w:r w:rsidRPr="00BB758A">
        <w:t>В рамках реализации 185-ФЗ произведен ремонт многоквартирного дома, а именно утепление фасада стоимостью 1,6 млн</w:t>
      </w:r>
      <w:proofErr w:type="gramStart"/>
      <w:r w:rsidRPr="00BB758A">
        <w:t>.р</w:t>
      </w:r>
      <w:proofErr w:type="gramEnd"/>
      <w:r w:rsidRPr="00BB758A">
        <w:t xml:space="preserve">ублей. Также были построены 3 дома для переселения граждан из аварийного жилья (п. Сернур, с. </w:t>
      </w:r>
      <w:proofErr w:type="spellStart"/>
      <w:r w:rsidRPr="00BB758A">
        <w:t>Зашижемье</w:t>
      </w:r>
      <w:proofErr w:type="spellEnd"/>
      <w:r w:rsidRPr="00BB758A">
        <w:t xml:space="preserve">, д. </w:t>
      </w:r>
      <w:proofErr w:type="spellStart"/>
      <w:r w:rsidRPr="00BB758A">
        <w:t>Калеево</w:t>
      </w:r>
      <w:proofErr w:type="spellEnd"/>
      <w:r w:rsidRPr="00BB758A">
        <w:t>).</w:t>
      </w:r>
    </w:p>
    <w:p w:rsidR="0095097D" w:rsidRDefault="0095097D" w:rsidP="000D62AE">
      <w:pPr>
        <w:ind w:firstLine="709"/>
        <w:jc w:val="both"/>
      </w:pPr>
      <w:r w:rsidRPr="00BB758A">
        <w:t xml:space="preserve">В 2015 году </w:t>
      </w:r>
      <w:r>
        <w:t xml:space="preserve">осуществлены </w:t>
      </w:r>
      <w:r w:rsidRPr="00BB758A">
        <w:t>расходы Дорожного фонда муниципального образования: проектирование автомобильных дорог общего пользования –  1,4 млн. рублей; целевые мероприятия по дорог</w:t>
      </w:r>
      <w:r>
        <w:t>ам общего пользования – 3 млн</w:t>
      </w:r>
      <w:proofErr w:type="gramStart"/>
      <w:r w:rsidRPr="00BB758A">
        <w:t>.р</w:t>
      </w:r>
      <w:proofErr w:type="gramEnd"/>
      <w:r w:rsidRPr="00BB758A">
        <w:t>ублей; капитальный ремонт дорог общего пол</w:t>
      </w:r>
      <w:r>
        <w:t>ьзования</w:t>
      </w:r>
      <w:r w:rsidRPr="00BB758A">
        <w:t xml:space="preserve"> – 3023,3 тыс.рублей; капитальный ремонт и ремонт дворовых территорий – 1841,7 тыс.рублей.</w:t>
      </w:r>
      <w:r>
        <w:t xml:space="preserve"> В текущем году отремонтирована часть ул</w:t>
      </w:r>
      <w:proofErr w:type="gramStart"/>
      <w:r>
        <w:t>.К</w:t>
      </w:r>
      <w:proofErr w:type="gramEnd"/>
      <w:r>
        <w:t>оммунистическая п.Сернур (1,7 млн.руб.), ремонт будет продолжен до перекрестка  ул.Советская ( 1,2 млн.руб.).</w:t>
      </w:r>
    </w:p>
    <w:p w:rsidR="0095097D" w:rsidRPr="00F516E5" w:rsidRDefault="0095097D" w:rsidP="000D62AE">
      <w:pPr>
        <w:ind w:firstLine="709"/>
        <w:jc w:val="both"/>
      </w:pPr>
      <w:r w:rsidRPr="00F516E5">
        <w:t>В 2015 году продолжились работы по улучшению материально-технического состояния учреждений культуры района.</w:t>
      </w:r>
    </w:p>
    <w:p w:rsidR="0095097D" w:rsidRPr="00F516E5" w:rsidRDefault="0095097D" w:rsidP="000D62AE">
      <w:pPr>
        <w:ind w:firstLine="709"/>
        <w:jc w:val="both"/>
      </w:pPr>
      <w:r w:rsidRPr="00F516E5">
        <w:t xml:space="preserve">По реконструкции II очереди Сернурского </w:t>
      </w:r>
      <w:proofErr w:type="spellStart"/>
      <w:r w:rsidRPr="00F516E5">
        <w:t>РЦДиК</w:t>
      </w:r>
      <w:proofErr w:type="spellEnd"/>
      <w:r w:rsidRPr="00F516E5">
        <w:t xml:space="preserve"> выполнен объем работ на сумму 7,9 млн</w:t>
      </w:r>
      <w:proofErr w:type="gramStart"/>
      <w:r w:rsidRPr="00F516E5">
        <w:t>.р</w:t>
      </w:r>
      <w:proofErr w:type="gramEnd"/>
      <w:r w:rsidRPr="00F516E5">
        <w:t>ублей, оплачено 5,5 млн.рублей.</w:t>
      </w:r>
    </w:p>
    <w:p w:rsidR="0095097D" w:rsidRPr="00F516E5" w:rsidRDefault="0095097D" w:rsidP="000D62AE">
      <w:pPr>
        <w:ind w:firstLine="709"/>
        <w:jc w:val="both"/>
      </w:pPr>
      <w:r w:rsidRPr="00F516E5">
        <w:t>В 2015 году за счет средств республиканского бюджета приобретено 2 автобуса на сумму 3млн. 238 тыс</w:t>
      </w:r>
      <w:proofErr w:type="gramStart"/>
      <w:r w:rsidRPr="00F516E5">
        <w:t>.р</w:t>
      </w:r>
      <w:proofErr w:type="gramEnd"/>
      <w:r w:rsidRPr="00F516E5">
        <w:t>ублей.</w:t>
      </w:r>
    </w:p>
    <w:p w:rsidR="0095097D" w:rsidRPr="00F516E5" w:rsidRDefault="0095097D" w:rsidP="000D62AE">
      <w:pPr>
        <w:ind w:firstLine="708"/>
        <w:jc w:val="both"/>
      </w:pPr>
      <w:r w:rsidRPr="00F516E5">
        <w:lastRenderedPageBreak/>
        <w:t>В 2015 году была открыта дополнительная группа в МДОУ «Сернурский детский сад «Ромашка» на 25 мест, из средств федерального б</w:t>
      </w:r>
      <w:r>
        <w:t>юджета было выделено 907,9 тыс.</w:t>
      </w:r>
      <w:r w:rsidRPr="00F516E5">
        <w:t xml:space="preserve"> рублей, полная стоимость работ согласно проекту – 1 млн. 297 тыс</w:t>
      </w:r>
      <w:proofErr w:type="gramStart"/>
      <w:r w:rsidRPr="00F516E5">
        <w:t>.р</w:t>
      </w:r>
      <w:proofErr w:type="gramEnd"/>
      <w:r w:rsidRPr="00F516E5">
        <w:t>ублей.</w:t>
      </w:r>
    </w:p>
    <w:p w:rsidR="0095097D" w:rsidRDefault="0095097D" w:rsidP="000D62AE">
      <w:pPr>
        <w:ind w:firstLine="708"/>
        <w:jc w:val="both"/>
      </w:pPr>
      <w:r w:rsidRPr="00F516E5">
        <w:t>Проведена реконструкция кровли МБУК «Сернурский музейно-выставочный комплекс» на сумму 300 тыс</w:t>
      </w:r>
      <w:proofErr w:type="gramStart"/>
      <w:r w:rsidRPr="00F516E5">
        <w:t>.р</w:t>
      </w:r>
      <w:proofErr w:type="gramEnd"/>
      <w:r w:rsidRPr="00F516E5">
        <w:t xml:space="preserve">ублей. </w:t>
      </w:r>
    </w:p>
    <w:p w:rsidR="0095097D" w:rsidRDefault="0095097D" w:rsidP="000D62AE">
      <w:pPr>
        <w:ind w:firstLine="708"/>
        <w:jc w:val="both"/>
      </w:pPr>
      <w:r>
        <w:t>Стадион пос</w:t>
      </w:r>
      <w:proofErr w:type="gramStart"/>
      <w:r>
        <w:t>.С</w:t>
      </w:r>
      <w:proofErr w:type="gramEnd"/>
      <w:r>
        <w:t>ернур оборудован плоскостной площадкой для сдачи норм ГТО , строится стадион-площадка при школе №1 п.Сернур.</w:t>
      </w:r>
    </w:p>
    <w:p w:rsidR="0095097D" w:rsidRPr="00F516E5" w:rsidRDefault="0095097D" w:rsidP="000D62AE">
      <w:pPr>
        <w:ind w:firstLine="708"/>
        <w:jc w:val="both"/>
      </w:pPr>
      <w:r>
        <w:t xml:space="preserve">В текущем году осуществляется реконструкция площадей </w:t>
      </w:r>
      <w:proofErr w:type="spellStart"/>
      <w:r>
        <w:t>Шудумарской</w:t>
      </w:r>
      <w:proofErr w:type="spellEnd"/>
      <w:r>
        <w:t xml:space="preserve"> школы под сельский клуб.</w:t>
      </w:r>
    </w:p>
    <w:p w:rsidR="0095097D" w:rsidRPr="00F516E5" w:rsidRDefault="0095097D" w:rsidP="000D62AE">
      <w:pPr>
        <w:ind w:firstLine="708"/>
        <w:jc w:val="both"/>
      </w:pPr>
      <w:r w:rsidRPr="00F516E5">
        <w:t>В целях экономии бюджетных сре</w:t>
      </w:r>
      <w:proofErr w:type="gramStart"/>
      <w:r w:rsidRPr="00F516E5">
        <w:t>дств пр</w:t>
      </w:r>
      <w:proofErr w:type="gramEnd"/>
      <w:r w:rsidRPr="00F516E5">
        <w:t>оведены работы по газификации котельных 9 учреждений культуры на сумму 2,9 млн. рублей.</w:t>
      </w:r>
    </w:p>
    <w:p w:rsidR="0095097D" w:rsidRDefault="0095097D" w:rsidP="000D62AE">
      <w:pPr>
        <w:ind w:firstLine="708"/>
        <w:jc w:val="both"/>
      </w:pPr>
      <w:r w:rsidRPr="00F516E5">
        <w:t>Продолжена работа по улучшению качества медицинских услуг и их доступности. В 2015 году было приобретено оборудование на сумму 3 млн. 237 тыс</w:t>
      </w:r>
      <w:proofErr w:type="gramStart"/>
      <w:r w:rsidRPr="00F516E5">
        <w:t>.р</w:t>
      </w:r>
      <w:proofErr w:type="gramEnd"/>
      <w:r w:rsidRPr="00F516E5">
        <w:t>ублей.</w:t>
      </w:r>
    </w:p>
    <w:p w:rsidR="0095097D" w:rsidRDefault="0095097D" w:rsidP="000D62AE">
      <w:pPr>
        <w:ind w:firstLine="708"/>
        <w:jc w:val="both"/>
      </w:pPr>
      <w:r>
        <w:t>Как показывает опыт, инвестиционные вложения непосредственным образом влияют на основные показатели социально-экономического развития муниципального образования. В 2015 году отдельные показатели деятельности в муниципальном образовании имеют положительную динамику:</w:t>
      </w:r>
    </w:p>
    <w:p w:rsidR="0095097D" w:rsidRDefault="0095097D" w:rsidP="000D62AE">
      <w:pPr>
        <w:ind w:firstLine="708"/>
        <w:jc w:val="both"/>
      </w:pPr>
      <w:r>
        <w:t>- индекс промышленного производства составил 138,7%;</w:t>
      </w:r>
    </w:p>
    <w:p w:rsidR="0095097D" w:rsidRDefault="0095097D" w:rsidP="000D62AE">
      <w:pPr>
        <w:ind w:firstLine="708"/>
        <w:jc w:val="both"/>
      </w:pPr>
      <w:r>
        <w:t>- индекс производства продукции сельского хозяйства в хозяйствах всех сельхозпроизводителей составил 108,7%, в том числе в сельскохозяйственных организациях – 120,4%;</w:t>
      </w:r>
    </w:p>
    <w:p w:rsidR="0095097D" w:rsidRDefault="0095097D" w:rsidP="000D62AE">
      <w:pPr>
        <w:ind w:firstLine="708"/>
        <w:jc w:val="both"/>
      </w:pPr>
      <w:r>
        <w:t>- объем работ, выполненный по виду деятельности «Строительство» увеличился на 7,8% и составил 275,2 млн</w:t>
      </w:r>
      <w:proofErr w:type="gramStart"/>
      <w:r>
        <w:t>.р</w:t>
      </w:r>
      <w:proofErr w:type="gramEnd"/>
      <w:r>
        <w:t>ублей;</w:t>
      </w:r>
    </w:p>
    <w:p w:rsidR="0095097D" w:rsidRDefault="0095097D" w:rsidP="000D62AE">
      <w:pPr>
        <w:ind w:firstLine="708"/>
        <w:jc w:val="both"/>
      </w:pPr>
      <w:r>
        <w:t>-оборот общественного питания увеличился на 0,5% и составил 108,9 млн</w:t>
      </w:r>
      <w:proofErr w:type="gramStart"/>
      <w:r>
        <w:t>.р</w:t>
      </w:r>
      <w:proofErr w:type="gramEnd"/>
      <w:r>
        <w:t>ублей.</w:t>
      </w:r>
    </w:p>
    <w:p w:rsidR="0095097D" w:rsidRDefault="0095097D" w:rsidP="000D62AE">
      <w:pPr>
        <w:ind w:firstLine="708"/>
        <w:jc w:val="both"/>
      </w:pPr>
      <w:r w:rsidRPr="00444FC8">
        <w:t xml:space="preserve">   Учитывая, что основной отраслью экономики района является сельское хозяйство,  обеспечивающее устойчивое развитие сельских территорий и района, администрацией муниципального образования к отрасли уделяется очень серьезное внимание.</w:t>
      </w:r>
    </w:p>
    <w:p w:rsidR="0095097D" w:rsidRDefault="0095097D" w:rsidP="000D62AE">
      <w:pPr>
        <w:ind w:firstLine="708"/>
        <w:jc w:val="both"/>
      </w:pPr>
      <w:r>
        <w:t>Проводится активная работа по документальному оформлению и постановке на кадастровый учет невостребованных земельных участков и паев в собственность муниципальных образований. В 5 сельских поселениях уже вовлекается в оборот более 7 тыс</w:t>
      </w:r>
      <w:proofErr w:type="gramStart"/>
      <w:r>
        <w:t>.г</w:t>
      </w:r>
      <w:proofErr w:type="gramEnd"/>
      <w:r>
        <w:t>а  земель сельскохозяйственного назначения.</w:t>
      </w:r>
    </w:p>
    <w:p w:rsidR="0095097D" w:rsidRDefault="0095097D" w:rsidP="000D62AE">
      <w:pPr>
        <w:ind w:firstLine="708"/>
        <w:jc w:val="both"/>
      </w:pPr>
      <w:r w:rsidRPr="00444FC8">
        <w:t>За последние годы значительно улучшен инвестиционный климат, что позволило привлечь и реализов</w:t>
      </w:r>
      <w:r>
        <w:t>ать в районе несколько проектов:</w:t>
      </w:r>
    </w:p>
    <w:p w:rsidR="0095097D" w:rsidRDefault="0095097D" w:rsidP="000D62AE">
      <w:pPr>
        <w:ind w:firstLine="708"/>
        <w:jc w:val="both"/>
      </w:pPr>
      <w:r>
        <w:t>-  Птицефабрикой «</w:t>
      </w:r>
      <w:proofErr w:type="spellStart"/>
      <w:r>
        <w:t>Акашевская</w:t>
      </w:r>
      <w:proofErr w:type="spellEnd"/>
      <w:r>
        <w:t>» введено 3 производственные площадки</w:t>
      </w:r>
      <w:proofErr w:type="gramStart"/>
      <w:r>
        <w:t xml:space="preserve">  ;</w:t>
      </w:r>
      <w:proofErr w:type="gramEnd"/>
    </w:p>
    <w:p w:rsidR="0095097D" w:rsidRPr="00444FC8" w:rsidRDefault="0095097D" w:rsidP="000D62AE">
      <w:pPr>
        <w:ind w:firstLine="708"/>
        <w:jc w:val="both"/>
      </w:pPr>
      <w:r>
        <w:t xml:space="preserve">-  строительство цеха детского питания  ЗАО «Сернурский </w:t>
      </w:r>
      <w:proofErr w:type="spellStart"/>
      <w:r>
        <w:t>сырзавод</w:t>
      </w:r>
      <w:proofErr w:type="spellEnd"/>
      <w:r>
        <w:t>»</w:t>
      </w:r>
      <w:proofErr w:type="gramStart"/>
      <w:r>
        <w:t xml:space="preserve"> ;</w:t>
      </w:r>
      <w:proofErr w:type="gramEnd"/>
      <w:r w:rsidRPr="00444FC8">
        <w:t xml:space="preserve"> </w:t>
      </w:r>
    </w:p>
    <w:p w:rsidR="0095097D" w:rsidRDefault="0095097D" w:rsidP="0099312C">
      <w:pPr>
        <w:suppressAutoHyphens w:val="0"/>
        <w:ind w:left="561"/>
        <w:jc w:val="both"/>
      </w:pPr>
      <w:r>
        <w:t xml:space="preserve">  - </w:t>
      </w:r>
      <w:r w:rsidRPr="00444FC8">
        <w:t>КФХ</w:t>
      </w:r>
      <w:r>
        <w:t xml:space="preserve"> </w:t>
      </w:r>
      <w:proofErr w:type="spellStart"/>
      <w:r>
        <w:t>Купстас</w:t>
      </w:r>
      <w:proofErr w:type="spellEnd"/>
      <w:r>
        <w:t xml:space="preserve"> Е.Я -  специализирует</w:t>
      </w:r>
      <w:r w:rsidRPr="00444FC8">
        <w:t>ся на</w:t>
      </w:r>
      <w:r>
        <w:t xml:space="preserve"> производстве КРС мясной породы</w:t>
      </w:r>
      <w:r w:rsidRPr="00444FC8">
        <w:t xml:space="preserve"> </w:t>
      </w:r>
      <w:r>
        <w:t xml:space="preserve"> </w:t>
      </w:r>
      <w:proofErr w:type="gramStart"/>
      <w:r>
        <w:t>(</w:t>
      </w:r>
      <w:r w:rsidRPr="00444FC8">
        <w:t xml:space="preserve"> </w:t>
      </w:r>
      <w:proofErr w:type="gramEnd"/>
      <w:r w:rsidRPr="00444FC8">
        <w:t xml:space="preserve">калмыцкой, </w:t>
      </w:r>
      <w:proofErr w:type="spellStart"/>
      <w:r w:rsidRPr="00444FC8">
        <w:t>абердин</w:t>
      </w:r>
      <w:proofErr w:type="spellEnd"/>
      <w:r w:rsidRPr="00444FC8">
        <w:t xml:space="preserve"> </w:t>
      </w:r>
      <w:r>
        <w:t xml:space="preserve">- ангусской, герефордской </w:t>
      </w:r>
      <w:r w:rsidRPr="00444FC8">
        <w:t>)</w:t>
      </w:r>
      <w:r>
        <w:t xml:space="preserve"> ;</w:t>
      </w:r>
    </w:p>
    <w:p w:rsidR="0095097D" w:rsidRPr="00444FC8" w:rsidRDefault="0095097D" w:rsidP="0099312C">
      <w:pPr>
        <w:suppressAutoHyphens w:val="0"/>
        <w:ind w:left="561"/>
        <w:jc w:val="both"/>
      </w:pPr>
      <w:r>
        <w:t xml:space="preserve">  - введена новая линия по производству кормовых добавок ООО «СОПЗ» (комбикормовый завод в </w:t>
      </w:r>
      <w:proofErr w:type="spellStart"/>
      <w:r>
        <w:t>д</w:t>
      </w:r>
      <w:proofErr w:type="gramStart"/>
      <w:r>
        <w:t>.Ч</w:t>
      </w:r>
      <w:proofErr w:type="gramEnd"/>
      <w:r>
        <w:t>ендемерово</w:t>
      </w:r>
      <w:proofErr w:type="spellEnd"/>
      <w:r>
        <w:t>) ;</w:t>
      </w:r>
    </w:p>
    <w:p w:rsidR="0095097D" w:rsidRPr="00444FC8" w:rsidRDefault="0095097D" w:rsidP="0099312C">
      <w:pPr>
        <w:suppressAutoHyphens w:val="0"/>
        <w:ind w:left="561"/>
        <w:jc w:val="both"/>
      </w:pPr>
      <w:r>
        <w:lastRenderedPageBreak/>
        <w:t xml:space="preserve">  - </w:t>
      </w:r>
      <w:r w:rsidRPr="00444FC8">
        <w:t>ООО «Родина» - производство семян многолетних трав  высоких репродукций</w:t>
      </w:r>
      <w:proofErr w:type="gramStart"/>
      <w:r w:rsidRPr="00444FC8">
        <w:t xml:space="preserve"> </w:t>
      </w:r>
      <w:r>
        <w:t xml:space="preserve"> ;</w:t>
      </w:r>
      <w:proofErr w:type="gramEnd"/>
    </w:p>
    <w:p w:rsidR="0095097D" w:rsidRPr="00444FC8" w:rsidRDefault="0095097D" w:rsidP="0099312C">
      <w:pPr>
        <w:suppressAutoHyphens w:val="0"/>
        <w:ind w:left="561"/>
        <w:jc w:val="both"/>
      </w:pPr>
      <w:r>
        <w:t xml:space="preserve">  - </w:t>
      </w:r>
      <w:proofErr w:type="spellStart"/>
      <w:proofErr w:type="gramStart"/>
      <w:r w:rsidRPr="00444FC8">
        <w:t>от</w:t>
      </w:r>
      <w:r>
        <w:t>д</w:t>
      </w:r>
      <w:proofErr w:type="spellEnd"/>
      <w:proofErr w:type="gramEnd"/>
      <w:r>
        <w:t xml:space="preserve">  № 3 ПЗ «Семеновский» - введена в строй молочно-товарная ферма на 200 голов, идет</w:t>
      </w:r>
      <w:r w:rsidRPr="00444FC8">
        <w:t xml:space="preserve"> строи</w:t>
      </w:r>
      <w:r>
        <w:t>тельство  еще одной МТФ</w:t>
      </w:r>
      <w:r w:rsidRPr="00444FC8">
        <w:t xml:space="preserve">  на 200 гол</w:t>
      </w:r>
      <w:r>
        <w:t>ов ;</w:t>
      </w:r>
    </w:p>
    <w:p w:rsidR="0095097D" w:rsidRPr="00B34C15" w:rsidRDefault="0095097D" w:rsidP="0099312C">
      <w:pPr>
        <w:suppressAutoHyphens w:val="0"/>
        <w:ind w:left="561"/>
        <w:jc w:val="both"/>
      </w:pPr>
      <w:r>
        <w:t xml:space="preserve">  -</w:t>
      </w:r>
      <w:r w:rsidRPr="00444FC8">
        <w:t xml:space="preserve">  на базе ООО «</w:t>
      </w:r>
      <w:proofErr w:type="spellStart"/>
      <w:r w:rsidRPr="00444FC8">
        <w:t>Дубники</w:t>
      </w:r>
      <w:proofErr w:type="spellEnd"/>
      <w:r w:rsidRPr="00444FC8">
        <w:t>» планируется  строительство завода по перер</w:t>
      </w:r>
      <w:r>
        <w:t>аботке семян многолетних трав.</w:t>
      </w:r>
      <w:r w:rsidRPr="00444FC8">
        <w:t xml:space="preserve">   </w:t>
      </w:r>
    </w:p>
    <w:p w:rsidR="0095097D" w:rsidRDefault="0095097D" w:rsidP="00B34C15">
      <w:pPr>
        <w:suppressAutoHyphens w:val="0"/>
        <w:ind w:firstLine="921"/>
        <w:jc w:val="both"/>
      </w:pPr>
      <w:r>
        <w:t>В 2016 году ООО СХП «</w:t>
      </w:r>
      <w:proofErr w:type="spellStart"/>
      <w:r>
        <w:t>Лукоз</w:t>
      </w:r>
      <w:proofErr w:type="spellEnd"/>
      <w:r>
        <w:t>» планирует ввести в эксплуатацию товарную ферму на 1800 голов, включающую 4 производственных блока</w:t>
      </w:r>
      <w:proofErr w:type="gramStart"/>
      <w:r>
        <w:t xml:space="preserve"> ,</w:t>
      </w:r>
      <w:proofErr w:type="gramEnd"/>
      <w:r>
        <w:t xml:space="preserve"> ЗАО «Сернурский </w:t>
      </w:r>
      <w:proofErr w:type="spellStart"/>
      <w:r>
        <w:t>сырзавод</w:t>
      </w:r>
      <w:proofErr w:type="spellEnd"/>
      <w:r>
        <w:t xml:space="preserve">» - строительство </w:t>
      </w:r>
      <w:proofErr w:type="spellStart"/>
      <w:r>
        <w:t>сырохранилища</w:t>
      </w:r>
      <w:proofErr w:type="spellEnd"/>
      <w:r>
        <w:t>.</w:t>
      </w:r>
    </w:p>
    <w:p w:rsidR="0095097D" w:rsidRPr="00AC065F" w:rsidRDefault="0095097D" w:rsidP="00AC065F">
      <w:pPr>
        <w:suppressAutoHyphens w:val="0"/>
        <w:ind w:firstLine="921"/>
        <w:jc w:val="both"/>
      </w:pPr>
      <w:r>
        <w:t>Также СПК СХА «Земледелец», СПК колхоз «Восход» планируют закупить сельскохозяйственную технику, стоимостью 12 млн</w:t>
      </w:r>
      <w:proofErr w:type="gramStart"/>
      <w:r>
        <w:t>.р</w:t>
      </w:r>
      <w:proofErr w:type="gramEnd"/>
      <w:r>
        <w:t>ублей.</w:t>
      </w:r>
      <w:r w:rsidRPr="00444FC8">
        <w:t xml:space="preserve">                                </w:t>
      </w:r>
    </w:p>
    <w:p w:rsidR="0095097D" w:rsidRDefault="0095097D" w:rsidP="000D62AE">
      <w:pPr>
        <w:ind w:firstLine="708"/>
        <w:jc w:val="both"/>
      </w:pPr>
      <w:r>
        <w:t xml:space="preserve">В рамках реализации программы «Проведение капительного ремонта общего имущества в многоквартирных домах» в 2016 году на территории Сернурского муниципального района производятся ремонтные работы по 5 многоквартирным домам: в </w:t>
      </w:r>
      <w:proofErr w:type="spellStart"/>
      <w:r>
        <w:t>пгт</w:t>
      </w:r>
      <w:proofErr w:type="spellEnd"/>
      <w:r>
        <w:t>. Сернур - по ул. Маяковского - 10 а, по ул. Маяковского -1, по ул. Советская -135, по ул. Конакова -12 , в с</w:t>
      </w:r>
      <w:proofErr w:type="gramStart"/>
      <w:r>
        <w:t>.К</w:t>
      </w:r>
      <w:proofErr w:type="gramEnd"/>
      <w:r>
        <w:t>азанское –по ул.Кооперативная - 8 , по одному дому работы уже завершены.</w:t>
      </w:r>
    </w:p>
    <w:p w:rsidR="0095097D" w:rsidRDefault="0095097D" w:rsidP="000D62AE">
      <w:pPr>
        <w:ind w:firstLine="709"/>
        <w:jc w:val="both"/>
      </w:pPr>
      <w:r w:rsidRPr="00BA464A">
        <w:t>В текущем году план</w:t>
      </w:r>
      <w:r>
        <w:t>ируется ввести в эксплуатацию  2 дома (</w:t>
      </w:r>
      <w:r w:rsidRPr="00BA464A">
        <w:t>п. Сернур</w:t>
      </w:r>
      <w:r>
        <w:t xml:space="preserve">, с. </w:t>
      </w:r>
      <w:proofErr w:type="spellStart"/>
      <w:r>
        <w:t>Кукнур</w:t>
      </w:r>
      <w:proofErr w:type="spellEnd"/>
      <w:r w:rsidRPr="00BA464A">
        <w:t>) по программе переселения граждан из ветхого и аварийного жилья</w:t>
      </w:r>
      <w:r>
        <w:t xml:space="preserve"> (34,8 млн. руб.).</w:t>
      </w:r>
    </w:p>
    <w:p w:rsidR="0095097D" w:rsidRDefault="0095097D" w:rsidP="00AC065F">
      <w:pPr>
        <w:ind w:firstLine="709"/>
        <w:jc w:val="both"/>
      </w:pPr>
      <w:r>
        <w:t>В 2016 году предполагается строительство объектов газоснабжения: газопровод высокого давления до улиц Валерия Исаева и Парковая п</w:t>
      </w:r>
      <w:proofErr w:type="gramStart"/>
      <w:r>
        <w:t>.С</w:t>
      </w:r>
      <w:proofErr w:type="gramEnd"/>
      <w:r>
        <w:t xml:space="preserve">ернур(протяженность 0,6 км), межпоселковый газопровод до д. </w:t>
      </w:r>
      <w:proofErr w:type="spellStart"/>
      <w:r>
        <w:t>Лоскутово</w:t>
      </w:r>
      <w:proofErr w:type="spellEnd"/>
      <w:r>
        <w:t xml:space="preserve"> (протяженность 4,847 км) и межпоселковый газопровод до п. Горняк (протяженность 3,5 км). Приступили к разработке проекта газопровода высокого давления </w:t>
      </w:r>
      <w:proofErr w:type="spellStart"/>
      <w:r>
        <w:t>дер.Н.Рушенер</w:t>
      </w:r>
      <w:proofErr w:type="spellEnd"/>
      <w:r>
        <w:t xml:space="preserve"> – </w:t>
      </w:r>
      <w:proofErr w:type="spellStart"/>
      <w:r>
        <w:t>с</w:t>
      </w:r>
      <w:proofErr w:type="gramStart"/>
      <w:r>
        <w:t>.К</w:t>
      </w:r>
      <w:proofErr w:type="gramEnd"/>
      <w:r>
        <w:t>укнур</w:t>
      </w:r>
      <w:proofErr w:type="spellEnd"/>
      <w:r>
        <w:t xml:space="preserve"> – </w:t>
      </w:r>
      <w:proofErr w:type="spellStart"/>
      <w:r>
        <w:t>д.Читово</w:t>
      </w:r>
      <w:proofErr w:type="spellEnd"/>
      <w:r>
        <w:t xml:space="preserve"> – </w:t>
      </w:r>
      <w:proofErr w:type="spellStart"/>
      <w:r>
        <w:t>д.Купсола</w:t>
      </w:r>
      <w:proofErr w:type="spellEnd"/>
      <w:r>
        <w:t xml:space="preserve"> – </w:t>
      </w:r>
      <w:proofErr w:type="spellStart"/>
      <w:r>
        <w:t>д.Ананур</w:t>
      </w:r>
      <w:proofErr w:type="spellEnd"/>
      <w:r>
        <w:t xml:space="preserve"> – </w:t>
      </w:r>
      <w:proofErr w:type="spellStart"/>
      <w:r>
        <w:t>д.Михеенки</w:t>
      </w:r>
      <w:proofErr w:type="spellEnd"/>
      <w:r>
        <w:t xml:space="preserve"> ( 30,22 км.). Проводится экспертиза проектов уличных газопроводов </w:t>
      </w:r>
      <w:proofErr w:type="spellStart"/>
      <w:r>
        <w:t>Кукнурского</w:t>
      </w:r>
      <w:proofErr w:type="spellEnd"/>
      <w:r>
        <w:t xml:space="preserve"> СП </w:t>
      </w:r>
      <w:proofErr w:type="gramStart"/>
      <w:r>
        <w:t xml:space="preserve">( </w:t>
      </w:r>
      <w:proofErr w:type="gramEnd"/>
      <w:r>
        <w:t>17 деревень – 670 дворов).</w:t>
      </w:r>
    </w:p>
    <w:p w:rsidR="0095097D" w:rsidRDefault="0095097D" w:rsidP="00AC065F">
      <w:pPr>
        <w:ind w:firstLine="709"/>
        <w:jc w:val="both"/>
      </w:pPr>
      <w:r>
        <w:t>Разработаны проекты строительства дорог : д</w:t>
      </w:r>
      <w:proofErr w:type="gramStart"/>
      <w:r>
        <w:t>.Б</w:t>
      </w:r>
      <w:proofErr w:type="gramEnd"/>
      <w:r>
        <w:t xml:space="preserve">ольшой </w:t>
      </w:r>
      <w:proofErr w:type="spellStart"/>
      <w:r>
        <w:t>Торешкибар</w:t>
      </w:r>
      <w:proofErr w:type="spellEnd"/>
      <w:r>
        <w:t xml:space="preserve"> – Средний </w:t>
      </w:r>
      <w:proofErr w:type="spellStart"/>
      <w:r>
        <w:t>Торешкибар</w:t>
      </w:r>
      <w:proofErr w:type="spellEnd"/>
      <w:r>
        <w:t xml:space="preserve"> ; д.Большая </w:t>
      </w:r>
      <w:proofErr w:type="spellStart"/>
      <w:r>
        <w:t>Коклала</w:t>
      </w:r>
      <w:proofErr w:type="spellEnd"/>
      <w:r>
        <w:t xml:space="preserve"> – </w:t>
      </w:r>
      <w:proofErr w:type="spellStart"/>
      <w:r>
        <w:t>д.Пюнчерюмал</w:t>
      </w:r>
      <w:proofErr w:type="spellEnd"/>
      <w:r>
        <w:t xml:space="preserve"> с подъездами к </w:t>
      </w:r>
      <w:proofErr w:type="spellStart"/>
      <w:r>
        <w:t>д.Нурсола</w:t>
      </w:r>
      <w:proofErr w:type="spellEnd"/>
      <w:r>
        <w:t xml:space="preserve"> и </w:t>
      </w:r>
      <w:proofErr w:type="spellStart"/>
      <w:r>
        <w:t>д.Тумерсола</w:t>
      </w:r>
      <w:proofErr w:type="spellEnd"/>
      <w:r>
        <w:t>.</w:t>
      </w:r>
    </w:p>
    <w:p w:rsidR="0095097D" w:rsidRDefault="0095097D" w:rsidP="00AC065F">
      <w:pPr>
        <w:ind w:firstLine="709"/>
        <w:jc w:val="both"/>
      </w:pPr>
      <w:r>
        <w:t xml:space="preserve">Открыты конкурентные процедуры на проектирование по строительству автомобильных дорог : подъезд к </w:t>
      </w:r>
      <w:proofErr w:type="spellStart"/>
      <w:r>
        <w:t>дер</w:t>
      </w:r>
      <w:proofErr w:type="gramStart"/>
      <w:r>
        <w:t>.Л</w:t>
      </w:r>
      <w:proofErr w:type="gramEnd"/>
      <w:r>
        <w:t>ужала</w:t>
      </w:r>
      <w:proofErr w:type="spellEnd"/>
      <w:r>
        <w:t xml:space="preserve"> (1,2 млн.руб.), </w:t>
      </w:r>
      <w:proofErr w:type="spellStart"/>
      <w:r>
        <w:t>дер.Шунсола</w:t>
      </w:r>
      <w:proofErr w:type="spellEnd"/>
      <w:r>
        <w:t xml:space="preserve"> – дер.Нижняя Мушка (1,5 млн.руб.)</w:t>
      </w:r>
    </w:p>
    <w:p w:rsidR="0095097D" w:rsidRPr="006C5CBF" w:rsidRDefault="0095097D" w:rsidP="00B34C15">
      <w:pPr>
        <w:ind w:firstLine="708"/>
        <w:jc w:val="both"/>
      </w:pPr>
      <w:r w:rsidRPr="00785C6C">
        <w:t>Уважаемые главы сел</w:t>
      </w:r>
      <w:r>
        <w:t>ьских поселений, депутаты районного Собрания</w:t>
      </w:r>
      <w:r w:rsidRPr="00785C6C">
        <w:t>, коллеги, предприниматели! Обеспечение благоприятного инвестиционного кл</w:t>
      </w:r>
      <w:r>
        <w:t>имата, привлечение инвестиций –</w:t>
      </w:r>
      <w:r w:rsidRPr="00785C6C">
        <w:t xml:space="preserve"> наша общая задача. </w:t>
      </w:r>
      <w:r>
        <w:t xml:space="preserve">Необходимо обеспечить максимально комфортные условия для начала и осуществления инвестиционной и предпринимательской деятельности. С уверенностью могу сказать, что общими усилиями мы сможем добиться ощутимых результатов и обеспечить социально-экономическое развитие района. </w:t>
      </w:r>
    </w:p>
    <w:p w:rsidR="0095097D" w:rsidRDefault="0095097D" w:rsidP="002659A6">
      <w:pPr>
        <w:rPr>
          <w:b/>
          <w:bCs/>
        </w:rPr>
      </w:pPr>
    </w:p>
    <w:p w:rsidR="0095097D" w:rsidRDefault="0095097D" w:rsidP="002659A6">
      <w:pPr>
        <w:rPr>
          <w:b/>
          <w:bCs/>
        </w:rPr>
      </w:pPr>
      <w:r>
        <w:rPr>
          <w:b/>
          <w:bCs/>
        </w:rPr>
        <w:t xml:space="preserve">               </w:t>
      </w:r>
      <w:proofErr w:type="spellStart"/>
      <w:r>
        <w:rPr>
          <w:b/>
          <w:bCs/>
        </w:rPr>
        <w:t>С.Л.Адиганов</w:t>
      </w:r>
      <w:proofErr w:type="spellEnd"/>
      <w:proofErr w:type="gramStart"/>
      <w:r>
        <w:rPr>
          <w:b/>
          <w:bCs/>
        </w:rPr>
        <w:t xml:space="preserve"> ,</w:t>
      </w:r>
      <w:proofErr w:type="gramEnd"/>
    </w:p>
    <w:p w:rsidR="0095097D" w:rsidRDefault="0095097D" w:rsidP="002659A6">
      <w:pPr>
        <w:rPr>
          <w:b/>
          <w:bCs/>
        </w:rPr>
      </w:pPr>
      <w:r>
        <w:rPr>
          <w:b/>
          <w:bCs/>
        </w:rPr>
        <w:t xml:space="preserve">        Глава администрации </w:t>
      </w:r>
    </w:p>
    <w:p w:rsidR="0095097D" w:rsidRDefault="0095097D" w:rsidP="002659A6">
      <w:pPr>
        <w:rPr>
          <w:b/>
          <w:bCs/>
        </w:rPr>
      </w:pPr>
      <w:r>
        <w:rPr>
          <w:b/>
          <w:bCs/>
        </w:rPr>
        <w:t xml:space="preserve">  МО «Сернурский муниципальный район»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sectPr w:rsidR="0095097D" w:rsidSect="00CB45E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DL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55759D"/>
    <w:multiLevelType w:val="hybridMultilevel"/>
    <w:tmpl w:val="A8D221D0"/>
    <w:lvl w:ilvl="0" w:tplc="0890DD5C">
      <w:start w:val="1"/>
      <w:numFmt w:val="decimal"/>
      <w:pStyle w:val="1"/>
      <w:lvlText w:val="%1."/>
      <w:lvlJc w:val="left"/>
      <w:pPr>
        <w:ind w:left="1789" w:hanging="1080"/>
      </w:pPr>
      <w:rPr>
        <w:rFonts w:eastAsia="Times New Roman"/>
      </w:r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4162E"/>
    <w:multiLevelType w:val="hybridMultilevel"/>
    <w:tmpl w:val="7E2A972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1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A6"/>
    <w:rsid w:val="00023C0A"/>
    <w:rsid w:val="00033EFF"/>
    <w:rsid w:val="0007291D"/>
    <w:rsid w:val="000966A5"/>
    <w:rsid w:val="000A0550"/>
    <w:rsid w:val="000B00EA"/>
    <w:rsid w:val="000C318C"/>
    <w:rsid w:val="000D62AE"/>
    <w:rsid w:val="00142A6B"/>
    <w:rsid w:val="001445B2"/>
    <w:rsid w:val="001E7177"/>
    <w:rsid w:val="002300FA"/>
    <w:rsid w:val="002659A6"/>
    <w:rsid w:val="00294481"/>
    <w:rsid w:val="002A719B"/>
    <w:rsid w:val="002E6326"/>
    <w:rsid w:val="00343FBC"/>
    <w:rsid w:val="003D3B79"/>
    <w:rsid w:val="003D4E60"/>
    <w:rsid w:val="003F5532"/>
    <w:rsid w:val="00424E9F"/>
    <w:rsid w:val="00444FC8"/>
    <w:rsid w:val="00494ABB"/>
    <w:rsid w:val="004B0F5B"/>
    <w:rsid w:val="005160C1"/>
    <w:rsid w:val="00577CCE"/>
    <w:rsid w:val="00615AFC"/>
    <w:rsid w:val="006C5598"/>
    <w:rsid w:val="006C5CBF"/>
    <w:rsid w:val="00714B18"/>
    <w:rsid w:val="007151C7"/>
    <w:rsid w:val="00722C18"/>
    <w:rsid w:val="00733F8D"/>
    <w:rsid w:val="00734F72"/>
    <w:rsid w:val="00737D96"/>
    <w:rsid w:val="007431F0"/>
    <w:rsid w:val="0076157F"/>
    <w:rsid w:val="00773F69"/>
    <w:rsid w:val="00780A18"/>
    <w:rsid w:val="00785C6C"/>
    <w:rsid w:val="007A4047"/>
    <w:rsid w:val="007A69C3"/>
    <w:rsid w:val="00814FC0"/>
    <w:rsid w:val="0089011C"/>
    <w:rsid w:val="008A6743"/>
    <w:rsid w:val="00915656"/>
    <w:rsid w:val="00935214"/>
    <w:rsid w:val="0095097D"/>
    <w:rsid w:val="0099312C"/>
    <w:rsid w:val="009C6C9B"/>
    <w:rsid w:val="00A35C48"/>
    <w:rsid w:val="00A47859"/>
    <w:rsid w:val="00A76C8B"/>
    <w:rsid w:val="00AA099C"/>
    <w:rsid w:val="00AB664B"/>
    <w:rsid w:val="00AC065F"/>
    <w:rsid w:val="00B34C15"/>
    <w:rsid w:val="00B9326E"/>
    <w:rsid w:val="00BA464A"/>
    <w:rsid w:val="00BB3AEF"/>
    <w:rsid w:val="00BB758A"/>
    <w:rsid w:val="00C15044"/>
    <w:rsid w:val="00C364DE"/>
    <w:rsid w:val="00C72EF3"/>
    <w:rsid w:val="00C827FE"/>
    <w:rsid w:val="00CB45E2"/>
    <w:rsid w:val="00CD091F"/>
    <w:rsid w:val="00CE60FC"/>
    <w:rsid w:val="00D338B6"/>
    <w:rsid w:val="00D55231"/>
    <w:rsid w:val="00D55C38"/>
    <w:rsid w:val="00D85ABA"/>
    <w:rsid w:val="00DA5468"/>
    <w:rsid w:val="00DB2961"/>
    <w:rsid w:val="00DD4D78"/>
    <w:rsid w:val="00DE37B1"/>
    <w:rsid w:val="00E23410"/>
    <w:rsid w:val="00E342B9"/>
    <w:rsid w:val="00E457C4"/>
    <w:rsid w:val="00E5357F"/>
    <w:rsid w:val="00E83294"/>
    <w:rsid w:val="00E852D4"/>
    <w:rsid w:val="00E932CC"/>
    <w:rsid w:val="00EA72B8"/>
    <w:rsid w:val="00F516E5"/>
    <w:rsid w:val="00F7074A"/>
    <w:rsid w:val="00F93972"/>
    <w:rsid w:val="00FB15F2"/>
    <w:rsid w:val="00FE14B2"/>
    <w:rsid w:val="00FE776C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A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659A6"/>
    <w:pPr>
      <w:keepNext/>
      <w:numPr>
        <w:numId w:val="2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659A6"/>
    <w:pPr>
      <w:keepNext/>
      <w:numPr>
        <w:ilvl w:val="1"/>
        <w:numId w:val="2"/>
      </w:numPr>
      <w:ind w:left="0"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3521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9A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59A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5214"/>
    <w:rPr>
      <w:rFonts w:ascii="Cambria" w:hAnsi="Cambria" w:cs="Cambria"/>
      <w:b/>
      <w:bCs/>
      <w:color w:val="4F81BD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2659A6"/>
    <w:pPr>
      <w:ind w:right="-625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659A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8">
    <w:name w:val="текст8"/>
    <w:uiPriority w:val="99"/>
    <w:rsid w:val="002659A6"/>
    <w:pPr>
      <w:autoSpaceDE w:val="0"/>
      <w:autoSpaceDN w:val="0"/>
      <w:adjustRightInd w:val="0"/>
      <w:ind w:firstLine="227"/>
      <w:jc w:val="both"/>
    </w:pPr>
    <w:rPr>
      <w:rFonts w:ascii="HelvDL" w:hAnsi="HelvDL" w:cs="HelvDL"/>
      <w:color w:val="000000"/>
      <w:sz w:val="16"/>
      <w:szCs w:val="16"/>
      <w:lang w:eastAsia="en-US"/>
    </w:rPr>
  </w:style>
  <w:style w:type="paragraph" w:customStyle="1" w:styleId="80">
    <w:name w:val="тподпись8"/>
    <w:basedOn w:val="8"/>
    <w:uiPriority w:val="99"/>
    <w:rsid w:val="002659A6"/>
    <w:pPr>
      <w:ind w:firstLine="0"/>
      <w:jc w:val="right"/>
    </w:pPr>
    <w:rPr>
      <w:b/>
      <w:bCs/>
    </w:rPr>
  </w:style>
  <w:style w:type="paragraph" w:customStyle="1" w:styleId="ConsPlusTitle">
    <w:name w:val="ConsPlusTitle"/>
    <w:uiPriority w:val="99"/>
    <w:rsid w:val="002659A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5">
    <w:name w:val="Hyperlink"/>
    <w:basedOn w:val="a0"/>
    <w:uiPriority w:val="99"/>
    <w:semiHidden/>
    <w:rsid w:val="002659A6"/>
    <w:rPr>
      <w:color w:val="0000FF"/>
      <w:u w:val="single"/>
    </w:rPr>
  </w:style>
  <w:style w:type="table" w:styleId="a6">
    <w:name w:val="Table Grid"/>
    <w:basedOn w:val="a1"/>
    <w:uiPriority w:val="99"/>
    <w:rsid w:val="00A47859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rsid w:val="009352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35214"/>
    <w:rPr>
      <w:rFonts w:ascii="Times New Roman" w:hAnsi="Times New Roman" w:cs="Times New Roman"/>
      <w:sz w:val="16"/>
      <w:szCs w:val="16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9352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35214"/>
    <w:rPr>
      <w:rFonts w:ascii="Tahoma" w:hAnsi="Tahoma" w:cs="Tahoma"/>
      <w:sz w:val="16"/>
      <w:szCs w:val="16"/>
      <w:lang w:eastAsia="ar-SA" w:bidi="ar-SA"/>
    </w:rPr>
  </w:style>
  <w:style w:type="paragraph" w:styleId="a9">
    <w:name w:val="Title"/>
    <w:basedOn w:val="a"/>
    <w:link w:val="aa"/>
    <w:uiPriority w:val="99"/>
    <w:qFormat/>
    <w:rsid w:val="00935214"/>
    <w:pPr>
      <w:suppressAutoHyphens w:val="0"/>
      <w:jc w:val="center"/>
    </w:pPr>
    <w:rPr>
      <w:b/>
      <w:bCs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935214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cd4223-62bb-4cad-a8c0-d5c5902476aa">Иная информация</_x041f__x0430__x043f__x043a__x0430_>
    <_dlc_DocId xmlns="57504d04-691e-4fc4-8f09-4f19fdbe90f6">XXJ7TYMEEKJ2-4155-13</_dlc_DocId>
    <_dlc_DocIdUrl xmlns="57504d04-691e-4fc4-8f09-4f19fdbe90f6">
      <Url>http://spsearch.gov.mari.ru:32643/sernur/_layouts/DocIdRedir.aspx?ID=XXJ7TYMEEKJ2-4155-13</Url>
      <Description>XXJ7TYMEEKJ2-4155-13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ED543F4B21146B46EC6923F37C09D" ma:contentTypeVersion="2" ma:contentTypeDescription="Создание документа." ma:contentTypeScope="" ma:versionID="047f5c58a8f4260856ff6ac086f3ea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cd4223-62bb-4cad-a8c0-d5c5902476aa" targetNamespace="http://schemas.microsoft.com/office/2006/metadata/properties" ma:root="true" ma:fieldsID="02122af92dee6ae355fd2b941f23907c" ns2:_="" ns3:_="" ns4:_="">
    <xsd:import namespace="57504d04-691e-4fc4-8f09-4f19fdbe90f6"/>
    <xsd:import namespace="6d7c22ec-c6a4-4777-88aa-bc3c76ac660e"/>
    <xsd:import namespace="53cd4223-62bb-4cad-a8c0-d5c5902476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4223-62bb-4cad-a8c0-d5c5902476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естр" ma:format="RadioButtons" ma:internalName="_x041f__x0430__x043f__x043a__x0430_">
      <xsd:simpleType>
        <xsd:union memberTypes="dms:Text">
          <xsd:simpleType>
            <xsd:restriction base="dms:Choice">
              <xsd:enumeration value="Реестр"/>
              <xsd:enumeration value="Планы и отчеты"/>
              <xsd:enumeration value="Иная информация"/>
              <xsd:enumeration value="Конкурсы"/>
              <xsd:enumeration value="Имущественная поддержка субъектов малого и среднего предпринимательства"/>
              <xsd:enumeration value="Реестр субьектов МСП, их классификация по видам экономической деятельности"/>
              <xsd:enumeration value="Финансово-экономическое состояние субъектов МСП"/>
              <xsd:enumeration value="Оборот товаров (работ, услуг), производимых субъектами МСП, в соответствии с их классификацией по видам экономической деятельности"/>
              <xsd:enumeration value="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"/>
              <xsd:enumeration value="Количество субъектов МСП, их классификация по видам экономической деятельности"/>
              <xsd:enumeration value="Число замещенных рабочих мест в субъектах МСП в соответствии с их классификацией по видам экономической деятельности"/>
              <xsd:enumeration value="Организации, образующие инфраструктуру поддержки субъектов МСП"/>
              <xsd:enumeration value="Информация о конкурсах на оказание финансовой поддержки субъектам МСП"/>
              <xsd:enumeration value="субъектов МСП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FBD4B-1898-443A-A21F-03C3DDA6BE93}"/>
</file>

<file path=customXml/itemProps2.xml><?xml version="1.0" encoding="utf-8"?>
<ds:datastoreItem xmlns:ds="http://schemas.openxmlformats.org/officeDocument/2006/customXml" ds:itemID="{307337AC-A259-4570-BBBE-D4860CFED429}"/>
</file>

<file path=customXml/itemProps3.xml><?xml version="1.0" encoding="utf-8"?>
<ds:datastoreItem xmlns:ds="http://schemas.openxmlformats.org/officeDocument/2006/customXml" ds:itemID="{DB67ED8C-6ECA-4D0B-B9DF-DBC33C2489BD}"/>
</file>

<file path=customXml/itemProps4.xml><?xml version="1.0" encoding="utf-8"?>
<ds:datastoreItem xmlns:ds="http://schemas.openxmlformats.org/officeDocument/2006/customXml" ds:itemID="{6AA6504F-0405-473F-BA9D-93B79B2A0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Инвестиционное послание главы администрации МО «Сернурский муниципальный район»</dc:title>
  <dc:subject/>
  <dc:creator>Михаил</dc:creator>
  <cp:keywords/>
  <dc:description/>
  <cp:lastModifiedBy>Admin</cp:lastModifiedBy>
  <cp:revision>20</cp:revision>
  <cp:lastPrinted>2016-07-21T11:27:00Z</cp:lastPrinted>
  <dcterms:created xsi:type="dcterms:W3CDTF">2016-06-01T10:56:00Z</dcterms:created>
  <dcterms:modified xsi:type="dcterms:W3CDTF">2016-08-08T07:04:00Z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0x010100557ED543F4B21146B46EC6923F37C09D</vt:lpwstr>
  </property>
  <property fmtid="{D5CDD505-2E9C-101B-9397-08002B2CF9AE}" pid="3" name="_dlc_DocIdItemGuid">
    <vt:lpwstr>197e5c13-0f53-40d0-a08e-c997a6f48b55</vt:lpwstr>
  </property>
</Properties>
</file>