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252" w:type="dxa"/>
        <w:tblLayout w:type="fixed"/>
        <w:tblLook w:val="01E0"/>
      </w:tblPr>
      <w:tblGrid>
        <w:gridCol w:w="3965"/>
        <w:gridCol w:w="2202"/>
        <w:gridCol w:w="4138"/>
      </w:tblGrid>
      <w:tr w:rsidR="00E65169" w:rsidTr="00E65169">
        <w:trPr>
          <w:trHeight w:val="2077"/>
        </w:trPr>
        <w:tc>
          <w:tcPr>
            <w:tcW w:w="3964" w:type="dxa"/>
          </w:tcPr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</w:t>
            </w:r>
            <w:proofErr w:type="spellStart"/>
            <w:r>
              <w:rPr>
                <w:color w:val="0000FF"/>
                <w:sz w:val="32"/>
                <w:szCs w:val="32"/>
              </w:rPr>
              <w:t>Морко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ола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сынан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илем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E65169" w:rsidRDefault="00E651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32"/>
                <w:szCs w:val="32"/>
              </w:rPr>
              <w:t xml:space="preserve">          муниципальный 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муниципальный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учреждений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2201" w:type="dxa"/>
            <w:vMerge w:val="restart"/>
            <w:hideMark/>
          </w:tcPr>
          <w:p w:rsidR="00E65169" w:rsidRDefault="00E65169">
            <w:pPr>
              <w:spacing w:line="276" w:lineRule="auto"/>
              <w:ind w:right="-3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208405"/>
                  <wp:effectExtent l="19050" t="0" r="0" b="0"/>
                  <wp:docPr id="1" name="Рисунок 9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hideMark/>
          </w:tcPr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Муниципальное учреждение «Администрация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муниципального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образования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E65169" w:rsidRDefault="00E6516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32"/>
                <w:szCs w:val="32"/>
              </w:rPr>
              <w:t>Морки»</w:t>
            </w:r>
          </w:p>
        </w:tc>
      </w:tr>
      <w:tr w:rsidR="00E65169" w:rsidTr="00E65169">
        <w:trPr>
          <w:trHeight w:val="382"/>
        </w:trPr>
        <w:tc>
          <w:tcPr>
            <w:tcW w:w="3964" w:type="dxa"/>
          </w:tcPr>
          <w:p w:rsidR="00E65169" w:rsidRDefault="00E6516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2201" w:type="dxa"/>
            <w:vMerge/>
            <w:vAlign w:val="center"/>
            <w:hideMark/>
          </w:tcPr>
          <w:p w:rsidR="00E65169" w:rsidRDefault="00E65169">
            <w:pPr>
              <w:suppressAutoHyphens w:val="0"/>
            </w:pPr>
          </w:p>
        </w:tc>
        <w:tc>
          <w:tcPr>
            <w:tcW w:w="4136" w:type="dxa"/>
          </w:tcPr>
          <w:p w:rsidR="00E65169" w:rsidRDefault="00E65169">
            <w:pPr>
              <w:spacing w:line="276" w:lineRule="auto"/>
              <w:jc w:val="center"/>
              <w:rPr>
                <w:color w:val="0000FF"/>
              </w:rPr>
            </w:pPr>
          </w:p>
        </w:tc>
      </w:tr>
    </w:tbl>
    <w:p w:rsidR="00E65169" w:rsidRDefault="00E65169" w:rsidP="00E65169"/>
    <w:p w:rsidR="00E65169" w:rsidRDefault="00E65169" w:rsidP="00E65169"/>
    <w:p w:rsidR="00E65169" w:rsidRDefault="00E65169" w:rsidP="00E65169">
      <w:pPr>
        <w:rPr>
          <w:sz w:val="28"/>
          <w:szCs w:val="28"/>
        </w:rPr>
      </w:pPr>
      <w:r>
        <w:rPr>
          <w:sz w:val="28"/>
          <w:szCs w:val="28"/>
        </w:rPr>
        <w:t>№ 251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от  « 25 »  августа  2015           </w:t>
      </w:r>
    </w:p>
    <w:p w:rsidR="00E65169" w:rsidRDefault="00E65169" w:rsidP="00E65169">
      <w:pPr>
        <w:rPr>
          <w:sz w:val="28"/>
          <w:szCs w:val="28"/>
        </w:rPr>
      </w:pPr>
    </w:p>
    <w:p w:rsidR="00E65169" w:rsidRDefault="00E65169" w:rsidP="00E65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65169" w:rsidRDefault="00E65169" w:rsidP="00E651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5169" w:rsidRDefault="00E65169" w:rsidP="00E6516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5169" w:rsidRDefault="00E65169" w:rsidP="00E651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5169" w:rsidRDefault="00E65169" w:rsidP="00E65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E65169" w:rsidRDefault="00E65169" w:rsidP="00E651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5169" w:rsidRDefault="00E65169" w:rsidP="00E651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5169" w:rsidRDefault="00E65169" w:rsidP="00E651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5169" w:rsidRDefault="00E65169" w:rsidP="00E65169">
      <w:pPr>
        <w:pStyle w:val="ConsPlusNormal"/>
        <w:widowControl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8, 37  Градостроительного кодекса Российской Федерации, статьей 4 Федерального Закона от 29.12.2004 г.  N 191-ФЗ "О введении в действие Градостроительного кодекса Российской Федерации", на основании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вопросу изменения одного видов   разрешенного использования земельного участка на другой вид такого использования земельного участка, администрация  МО «Городское поселение Морки»       постановляет: </w:t>
      </w:r>
      <w:proofErr w:type="gramEnd"/>
    </w:p>
    <w:p w:rsidR="00E65169" w:rsidRDefault="00E65169" w:rsidP="00E65169">
      <w:pPr>
        <w:pStyle w:val="ConsPlusNormal"/>
        <w:widowControl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65169" w:rsidRDefault="00E65169" w:rsidP="00E6516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 (кадастровый номер 12:13:0990116: 18) общей площадью 1174  кв. м, расположенного по адресу: Республика Марий Эл, Моркинский район,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 т. Морки, ул. Кооперативная, д. № 2 а с существующего вида – «для производственных нужд жилого фонда », на другой вид использования – «приусадебный участок личного подсобного хозяйства».</w:t>
      </w:r>
    </w:p>
    <w:p w:rsidR="00E65169" w:rsidRDefault="00E65169" w:rsidP="00E65169">
      <w:pPr>
        <w:pStyle w:val="ConsPlusNormal"/>
        <w:widowControl/>
        <w:ind w:left="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169" w:rsidRDefault="00E65169" w:rsidP="00E6516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E65169" w:rsidRDefault="00E65169" w:rsidP="00E65169">
      <w:pPr>
        <w:pStyle w:val="ConsPlusNormal"/>
        <w:widowControl/>
        <w:ind w:left="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169" w:rsidRDefault="00E65169" w:rsidP="00E6516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65169" w:rsidRDefault="00E65169" w:rsidP="00E65169">
      <w:pPr>
        <w:pStyle w:val="a3"/>
        <w:rPr>
          <w:sz w:val="28"/>
          <w:szCs w:val="28"/>
        </w:rPr>
      </w:pPr>
    </w:p>
    <w:p w:rsidR="00E65169" w:rsidRDefault="00E65169" w:rsidP="00E651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5169" w:rsidRDefault="00E65169" w:rsidP="00E65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</w:t>
      </w:r>
    </w:p>
    <w:p w:rsidR="00E65169" w:rsidRDefault="00E65169" w:rsidP="00E65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«Городское поселение Морки»                                   В.А. Борисов</w:t>
      </w:r>
    </w:p>
    <w:p w:rsidR="00E65169" w:rsidRDefault="00E65169" w:rsidP="00E651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1D17" w:rsidRDefault="00F91D17"/>
    <w:sectPr w:rsidR="00F91D17" w:rsidSect="00E651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9CE"/>
    <w:multiLevelType w:val="hybridMultilevel"/>
    <w:tmpl w:val="80CA5B0A"/>
    <w:lvl w:ilvl="0" w:tplc="BC522512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5169"/>
    <w:rsid w:val="001C1205"/>
    <w:rsid w:val="0048237B"/>
    <w:rsid w:val="00E65169"/>
    <w:rsid w:val="00F9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69"/>
    <w:pPr>
      <w:ind w:left="720"/>
      <w:contextualSpacing/>
    </w:pPr>
  </w:style>
  <w:style w:type="paragraph" w:customStyle="1" w:styleId="ConsPlusNormal">
    <w:name w:val="ConsPlusNormal"/>
    <w:rsid w:val="00E65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dlc_DocId xmlns="57504d04-691e-4fc4-8f09-4f19fdbe90f6">XXJ7TYMEEKJ2-4210-147</_dlc_DocId>
    <_dlc_DocIdUrl xmlns="57504d04-691e-4fc4-8f09-4f19fdbe90f6">
      <Url>http://spsearch.gov.mari.ru:32643/morki/gpmorki/_layouts/DocIdRedir.aspx?ID=XXJ7TYMEEKJ2-4210-147</Url>
      <Description>XXJ7TYMEEKJ2-4210-147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251</_x2116__x0020__x0434__x043e__x043a__x0443__x043c__x0435__x043d__x0442__x0430_1>
    <_x0414__x0430__x0442__x0430__x0020__x0434__x043e__x043a__x0443__x043c__x0435__x043d__x0442__x0430_1 xmlns="02a04d9d-59e6-4d69-bf54-af5e844823be">2015-08-24T20:00:00+00:00</_x0414__x0430__x0442__x0430__x0020__x0434__x043e__x043a__x0443__x043c__x0435__x043d__x0442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837BA-E0B6-4609-9B73-C3733CB67A49}"/>
</file>

<file path=customXml/itemProps2.xml><?xml version="1.0" encoding="utf-8"?>
<ds:datastoreItem xmlns:ds="http://schemas.openxmlformats.org/officeDocument/2006/customXml" ds:itemID="{73219C9A-1E45-413D-A707-8398179C7F63}"/>
</file>

<file path=customXml/itemProps3.xml><?xml version="1.0" encoding="utf-8"?>
<ds:datastoreItem xmlns:ds="http://schemas.openxmlformats.org/officeDocument/2006/customXml" ds:itemID="{F8797352-6049-4EC0-A867-1C72D174573C}"/>
</file>

<file path=customXml/itemProps4.xml><?xml version="1.0" encoding="utf-8"?>
<ds:datastoreItem xmlns:ds="http://schemas.openxmlformats.org/officeDocument/2006/customXml" ds:itemID="{0EC71785-C976-455E-8465-706EDE770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251 от 25 августа 2015 года</dc:title>
  <dc:creator>КМ</dc:creator>
  <cp:lastModifiedBy>КМ</cp:lastModifiedBy>
  <cp:revision>1</cp:revision>
  <dcterms:created xsi:type="dcterms:W3CDTF">2015-08-28T06:32:00Z</dcterms:created>
  <dcterms:modified xsi:type="dcterms:W3CDTF">2015-08-28T06:42:00Z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a7ca305a-9c1b-49c1-a17e-5ee0bd224bff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2015-08-24T20:00:00Z</vt:filetime>
  </property>
  <property fmtid="{D5CDD505-2E9C-101B-9397-08002B2CF9AE}" pid="6" name="№ документа">
    <vt:r8>251</vt:r8>
  </property>
</Properties>
</file>