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80" w:rsidRDefault="00D26780" w:rsidP="00D26780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59273221" r:id="rId6"/>
        </w:object>
      </w:r>
    </w:p>
    <w:p w:rsidR="00D26780" w:rsidRDefault="00D26780" w:rsidP="00D26780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D26780" w:rsidRPr="00FA4AC0" w:rsidTr="006A7E9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  <w:sz w:val="26"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6780" w:rsidRPr="00FA4AC0" w:rsidTr="006A7E9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780" w:rsidRPr="00FA4AC0" w:rsidRDefault="00D26780" w:rsidP="006A7E9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D26780" w:rsidRDefault="00D26780" w:rsidP="00D26780">
      <w:pPr>
        <w:pStyle w:val="ConsPlusTitle"/>
        <w:jc w:val="center"/>
      </w:pPr>
    </w:p>
    <w:p w:rsidR="00D26780" w:rsidRDefault="00D26780" w:rsidP="00D26780">
      <w:pPr>
        <w:pStyle w:val="ConsPlusTitle"/>
        <w:jc w:val="center"/>
      </w:pPr>
    </w:p>
    <w:p w:rsidR="00D26780" w:rsidRPr="00D26780" w:rsidRDefault="00D26780" w:rsidP="00D26780">
      <w:pPr>
        <w:pStyle w:val="ConsPlusTitle"/>
        <w:jc w:val="center"/>
        <w:rPr>
          <w:b w:val="0"/>
          <w:sz w:val="28"/>
          <w:szCs w:val="28"/>
        </w:rPr>
      </w:pPr>
      <w:r w:rsidRPr="00D26780">
        <w:rPr>
          <w:b w:val="0"/>
          <w:sz w:val="28"/>
          <w:szCs w:val="28"/>
        </w:rPr>
        <w:t>от 1</w:t>
      </w:r>
      <w:r w:rsidRPr="00D26780">
        <w:rPr>
          <w:b w:val="0"/>
          <w:sz w:val="28"/>
          <w:szCs w:val="28"/>
        </w:rPr>
        <w:t>8</w:t>
      </w:r>
      <w:r w:rsidRPr="00D26780">
        <w:rPr>
          <w:b w:val="0"/>
          <w:sz w:val="28"/>
          <w:szCs w:val="28"/>
        </w:rPr>
        <w:t xml:space="preserve"> августа  </w:t>
      </w:r>
      <w:smartTag w:uri="urn:schemas-microsoft-com:office:smarttags" w:element="metricconverter">
        <w:smartTagPr>
          <w:attr w:name="ProductID" w:val="2020 г"/>
        </w:smartTagPr>
        <w:r w:rsidRPr="00D26780">
          <w:rPr>
            <w:b w:val="0"/>
            <w:sz w:val="28"/>
            <w:szCs w:val="28"/>
          </w:rPr>
          <w:t>2020 г</w:t>
        </w:r>
      </w:smartTag>
      <w:r w:rsidRPr="00D26780">
        <w:rPr>
          <w:b w:val="0"/>
          <w:sz w:val="28"/>
          <w:szCs w:val="28"/>
        </w:rPr>
        <w:t xml:space="preserve">. </w:t>
      </w:r>
      <w:r w:rsidRPr="00D26780">
        <w:rPr>
          <w:b w:val="0"/>
          <w:sz w:val="28"/>
          <w:szCs w:val="28"/>
        </w:rPr>
        <w:t>№</w:t>
      </w:r>
      <w:r w:rsidRPr="00D26780">
        <w:rPr>
          <w:b w:val="0"/>
          <w:sz w:val="28"/>
          <w:szCs w:val="28"/>
        </w:rPr>
        <w:t xml:space="preserve"> 2</w:t>
      </w:r>
      <w:r w:rsidRPr="00D26780">
        <w:rPr>
          <w:b w:val="0"/>
          <w:sz w:val="28"/>
          <w:szCs w:val="28"/>
        </w:rPr>
        <w:t>4</w:t>
      </w:r>
    </w:p>
    <w:p w:rsidR="00D26780" w:rsidRPr="00A47375" w:rsidRDefault="00D26780" w:rsidP="00D26780">
      <w:pPr>
        <w:pStyle w:val="ConsPlusTitle"/>
        <w:jc w:val="center"/>
        <w:rPr>
          <w:sz w:val="28"/>
          <w:szCs w:val="28"/>
        </w:rPr>
      </w:pPr>
    </w:p>
    <w:p w:rsidR="00ED3E54" w:rsidRPr="00762B11" w:rsidRDefault="00D26780" w:rsidP="00D2678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54" w:rsidRPr="00762B11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E54" w:rsidRPr="00762B11">
        <w:rPr>
          <w:rFonts w:ascii="Times New Roman" w:hAnsi="Times New Roman" w:cs="Times New Roman"/>
          <w:sz w:val="28"/>
          <w:szCs w:val="28"/>
          <w:lang w:eastAsia="ru-RU"/>
        </w:rPr>
        <w:t>сбора, расходования и</w:t>
      </w:r>
    </w:p>
    <w:p w:rsidR="00ED3E54" w:rsidRPr="00762B11" w:rsidRDefault="00ED3E54" w:rsidP="00762B1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распределения денежных</w:t>
      </w:r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>средств населения и спонсоров</w:t>
      </w:r>
    </w:p>
    <w:p w:rsidR="00ED3E54" w:rsidRDefault="00ED3E54" w:rsidP="00762B1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при участии в Проекте по</w:t>
      </w:r>
      <w:r w:rsidR="007C1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780">
        <w:rPr>
          <w:rFonts w:ascii="Times New Roman" w:hAnsi="Times New Roman" w:cs="Times New Roman"/>
          <w:sz w:val="28"/>
          <w:szCs w:val="28"/>
          <w:lang w:eastAsia="ru-RU"/>
        </w:rPr>
        <w:t>поддержке местных инициатив</w:t>
      </w:r>
    </w:p>
    <w:p w:rsidR="00762B11" w:rsidRPr="00762B11" w:rsidRDefault="00762B11" w:rsidP="00762B1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E54" w:rsidRPr="00762B11" w:rsidRDefault="00ED3E54" w:rsidP="00762B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Проекта по поддержке местных инициатив,  в целях законности и результативности использования бюджетных средств, выделенных на реализацию инвестиционных программ и проектов развития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Юксарского</w:t>
      </w:r>
      <w:proofErr w:type="spellEnd"/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Юксарская</w:t>
      </w:r>
      <w:proofErr w:type="spellEnd"/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>администрация  ПОСТАНОВЛЯЕТ:</w:t>
      </w:r>
    </w:p>
    <w:p w:rsidR="00ED3E54" w:rsidRPr="00762B11" w:rsidRDefault="00ED3E54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1.      Утвердить Порядок сбора, расходования и распределения денежных средств населения и спонсоров при участии в Проекте по поддержке местных инициатив. (</w:t>
      </w:r>
      <w:r w:rsidR="00762B11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3E54" w:rsidRPr="00762B11" w:rsidRDefault="00ED3E54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2.      Утвердить форму Ведомости сбора денежных средств населения при участии в Проекте по подд</w:t>
      </w:r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ержке местных инициатив в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Юксарском</w:t>
      </w:r>
      <w:proofErr w:type="spell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  (</w:t>
      </w:r>
      <w:r w:rsidR="00762B11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3E54" w:rsidRPr="00762B11" w:rsidRDefault="00ED3E54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3.      Настоящее постановление </w:t>
      </w:r>
      <w:r w:rsidR="00B32970" w:rsidRPr="004912CC">
        <w:rPr>
          <w:rFonts w:ascii="Times New Roman" w:hAnsi="Times New Roman" w:cs="Times New Roman"/>
          <w:sz w:val="28"/>
          <w:szCs w:val="28"/>
          <w:lang w:eastAsia="ru-RU"/>
        </w:rPr>
        <w:t>обнародовать на информационном стенде</w:t>
      </w:r>
      <w:r w:rsidRPr="004912C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разметить на официальном сайте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D3E54" w:rsidRDefault="00ED3E54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4.      Контроль за исполнением настоящего постановления оставляю за собой.</w:t>
      </w: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P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780" w:rsidRDefault="00D26780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D3E54"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3E54" w:rsidRP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D267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Т.А Бабина</w:t>
      </w: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Приложение№1</w:t>
      </w:r>
    </w:p>
    <w:p w:rsidR="00D26780" w:rsidRDefault="00D26780" w:rsidP="00762B1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6780" w:rsidRDefault="00D26780" w:rsidP="00762B1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сельской администрации</w:t>
      </w:r>
    </w:p>
    <w:p w:rsidR="00D26780" w:rsidRDefault="00D26780" w:rsidP="00762B1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18 августа 2020 г № 24</w:t>
      </w:r>
    </w:p>
    <w:p w:rsidR="00762B11" w:rsidRDefault="00762B11" w:rsidP="00762B1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E54" w:rsidRPr="00762B11" w:rsidRDefault="00ED3E54" w:rsidP="00762B1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ED3E54" w:rsidRDefault="00ED3E54" w:rsidP="00762B1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сбора, расходования и распределения денежных средств населения и спонсоров при участии в Проекте по поддержке местных инициатив</w:t>
      </w:r>
    </w:p>
    <w:p w:rsidR="00762B11" w:rsidRPr="00762B11" w:rsidRDefault="00762B11" w:rsidP="00762B1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E54" w:rsidRPr="00762B11" w:rsidRDefault="00ED3E54" w:rsidP="00762B1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11.08.1995 № 135-ФЗ «О благотворительной деятельности и благотворительных организациях», Законом Российской Федерации от 07.02.1992 № 2300-1 «О защите прав потребителей».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Настоящий Порядок разработан с целью законности и результативности использования </w:t>
      </w:r>
      <w:proofErr w:type="gramStart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средств, выделенных на реализацию инвестиционных программ и проектов развития общественной инфраструктуры 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Юксарского</w:t>
      </w:r>
      <w:proofErr w:type="spell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регулирует</w:t>
      </w:r>
      <w:proofErr w:type="gram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сбора, расходования и распределения денежных средств, собранных с населения и спонсоров.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финансовыми источниками реализации инвестиционных программ и проектов развития общественной инфраструктуры 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Юксарского</w:t>
      </w:r>
      <w:proofErr w:type="spell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являются средства областного бюджета, выделяемые в виде субсидий местным бюджетам из </w:t>
      </w:r>
      <w:r w:rsidR="00B32970">
        <w:rPr>
          <w:rFonts w:ascii="Times New Roman" w:hAnsi="Times New Roman" w:cs="Times New Roman"/>
          <w:sz w:val="28"/>
          <w:szCs w:val="28"/>
          <w:lang w:eastAsia="ru-RU"/>
        </w:rPr>
        <w:t>республиканского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на </w:t>
      </w:r>
      <w:proofErr w:type="spellStart"/>
      <w:r w:rsidRPr="00762B11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 развития, основанных на общественных инициативах муниципальных образований на </w:t>
      </w:r>
      <w:proofErr w:type="spellStart"/>
      <w:r w:rsidRPr="00762B11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инвестиционных программ и проектов развития общественной инфраструктуры 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Юксарского</w:t>
      </w:r>
      <w:proofErr w:type="spell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— физические и юридические лица).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1.5. Основным принципом привлечения дополнительных финансовых средств является добровольность их внесения.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1.6. Денежные средства, указанные в пунктах 1.3. и 1.4. настоящего Порядка поступают в бюджет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Юксарского</w:t>
      </w:r>
      <w:proofErr w:type="spellEnd"/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 могут быть направлены исключительно на реализацию Проекта по поддержке местных инициатив, получившего </w:t>
      </w:r>
      <w:proofErr w:type="spellStart"/>
      <w:r w:rsidRPr="00762B11">
        <w:rPr>
          <w:rFonts w:ascii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поддержку. Уплата денежных средств физическими лицами производится путем передачи наличных денежных средств на основании платежной ведомости или письменного заявления. 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Подтверждением факта оплаты является личная подпись гражданина в платежной ведомости или заявлении.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1.7. Уплата денежных средств физическими и юридическими лицами может производиться также путем внесения денежных средств на расчетный счет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Юксарского</w:t>
      </w:r>
      <w:proofErr w:type="spellEnd"/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по коду бюджетной классификации «прочие безвозмездные поступления в бюджеты сельских поселений». Подтверждением факта оплаты является квитанция об оплате либо платежное поручение.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1.8. Распоряжение привлеченными добровольными пожертвованиями населения и спонсоров осуществляется в соответствии с настоящим Порядком.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Юксарская</w:t>
      </w:r>
      <w:proofErr w:type="spellEnd"/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>дминистрация обязана представлять отчет о расходовании пожертвований юридических и физических лиц по их запросу.</w:t>
      </w:r>
    </w:p>
    <w:p w:rsidR="00ED3E54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1.10. При использовании денежных средств, полученных в виде добровольных пожертвований юридических и физических лиц не по назначению определенному населением и спонсорами, должностные лица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действующим гражданским законодательством.</w:t>
      </w:r>
    </w:p>
    <w:p w:rsidR="00762B11" w:rsidRPr="00762B11" w:rsidRDefault="00762B11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ED3E54" w:rsidP="00762B11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Контроль за соблюдением законности привлечения </w:t>
      </w:r>
    </w:p>
    <w:p w:rsidR="00ED3E54" w:rsidRDefault="00ED3E54" w:rsidP="00762B11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дополнительных финансовых средств</w:t>
      </w:r>
    </w:p>
    <w:p w:rsidR="00D26780" w:rsidRPr="00762B11" w:rsidRDefault="00D26780" w:rsidP="00762B11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4912CC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соблюдением законности привлечения дополнительных финансовых средств </w:t>
      </w:r>
      <w:proofErr w:type="spellStart"/>
      <w:r w:rsidR="00762B11" w:rsidRPr="004912CC">
        <w:rPr>
          <w:rFonts w:ascii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 w:rsidR="00762B11" w:rsidRPr="004912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4912CC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97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spellStart"/>
      <w:r w:rsidR="00B32970">
        <w:rPr>
          <w:rFonts w:ascii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 w:rsidR="00B329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сельской администрацией.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2.2. Неиспользованные денежные средства, собранные с населения и спонсоров в целях реализации инвестиционных программ и проектов развития общественной инфраструктуры 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Юксарского</w:t>
      </w:r>
      <w:proofErr w:type="spellEnd"/>
      <w:r w:rsidR="00762B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отчетном году изъятию не подлежат, переходят на следующий финансовый год и расходуются на цели, предусмотренные настоящим Порядком.</w:t>
      </w:r>
    </w:p>
    <w:p w:rsidR="00ED3E54" w:rsidRPr="00762B11" w:rsidRDefault="00ED3E54" w:rsidP="00762B1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762B1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собранных с населения и спонсоров в целях реализации инвестиционных программ и проектов развития общественной инфраструктуры  </w:t>
      </w:r>
      <w:proofErr w:type="spellStart"/>
      <w:r w:rsidR="00762B11">
        <w:rPr>
          <w:rFonts w:ascii="Times New Roman" w:hAnsi="Times New Roman" w:cs="Times New Roman"/>
          <w:sz w:val="28"/>
          <w:szCs w:val="28"/>
          <w:lang w:eastAsia="ru-RU"/>
        </w:rPr>
        <w:t>Юксарского</w:t>
      </w:r>
      <w:proofErr w:type="spellEnd"/>
      <w:r w:rsidRPr="00762B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осуществляется в порядке, предусмотренном Бюджетным кодексом Российской Федерации.</w:t>
      </w: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762B11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2B11" w:rsidRDefault="00762B11" w:rsidP="00762B1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Приложение№2</w:t>
      </w:r>
    </w:p>
    <w:p w:rsidR="00D26780" w:rsidRDefault="00D26780" w:rsidP="00D2678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6780" w:rsidRDefault="00D26780" w:rsidP="00D2678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сельской администрации</w:t>
      </w:r>
    </w:p>
    <w:p w:rsidR="00D26780" w:rsidRDefault="00D26780" w:rsidP="00D2678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18 августа 2020 г № 24</w:t>
      </w:r>
    </w:p>
    <w:p w:rsidR="00762B11" w:rsidRDefault="00762B11" w:rsidP="00762B1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B11" w:rsidRDefault="00ED3E54" w:rsidP="007C1C2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Ведомость сбора денежных средств населения</w:t>
      </w:r>
    </w:p>
    <w:p w:rsidR="007C1C20" w:rsidRDefault="00ED3E54" w:rsidP="007C1C2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при участии в Проекте по поддержке местных инициатив</w:t>
      </w:r>
    </w:p>
    <w:p w:rsidR="00ED3E54" w:rsidRDefault="00ED3E54" w:rsidP="007C1C2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в  </w:t>
      </w:r>
      <w:proofErr w:type="spellStart"/>
      <w:r w:rsidR="007C1C20">
        <w:rPr>
          <w:rFonts w:ascii="Times New Roman" w:hAnsi="Times New Roman" w:cs="Times New Roman"/>
          <w:sz w:val="28"/>
          <w:szCs w:val="28"/>
          <w:lang w:eastAsia="ru-RU"/>
        </w:rPr>
        <w:t>Юксарском</w:t>
      </w:r>
      <w:proofErr w:type="spellEnd"/>
      <w:r w:rsidR="007C1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2B11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</w:t>
      </w:r>
    </w:p>
    <w:p w:rsidR="007C1C20" w:rsidRPr="00762B11" w:rsidRDefault="007C1C20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3227"/>
        <w:gridCol w:w="2057"/>
        <w:gridCol w:w="1363"/>
        <w:gridCol w:w="1432"/>
      </w:tblGrid>
      <w:tr w:rsidR="00ED3E54" w:rsidRPr="00762B11" w:rsidTr="007C1C20"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D3E54" w:rsidRPr="00762B11" w:rsidTr="007C1C20"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E54" w:rsidRPr="00762B11" w:rsidRDefault="00ED3E54" w:rsidP="00762B1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3E54" w:rsidRPr="00762B11" w:rsidRDefault="00ED3E54" w:rsidP="00762B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B1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6581" w:rsidRPr="00762B11" w:rsidRDefault="006D6581" w:rsidP="00762B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D6581" w:rsidRPr="0076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92"/>
    <w:rsid w:val="00293D92"/>
    <w:rsid w:val="004912CC"/>
    <w:rsid w:val="006D6581"/>
    <w:rsid w:val="00762B11"/>
    <w:rsid w:val="007C1C20"/>
    <w:rsid w:val="00B32970"/>
    <w:rsid w:val="00D26780"/>
    <w:rsid w:val="00E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E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3E54"/>
    <w:rPr>
      <w:b/>
      <w:bCs/>
    </w:rPr>
  </w:style>
  <w:style w:type="paragraph" w:styleId="a5">
    <w:name w:val="No Spacing"/>
    <w:uiPriority w:val="1"/>
    <w:qFormat/>
    <w:rsid w:val="00762B11"/>
    <w:pPr>
      <w:spacing w:after="0" w:line="240" w:lineRule="auto"/>
    </w:pPr>
  </w:style>
  <w:style w:type="paragraph" w:customStyle="1" w:styleId="ConsPlusTitle">
    <w:name w:val="ConsPlusTitle"/>
    <w:rsid w:val="00D26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26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E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3E54"/>
    <w:rPr>
      <w:b/>
      <w:bCs/>
    </w:rPr>
  </w:style>
  <w:style w:type="paragraph" w:styleId="a5">
    <w:name w:val="No Spacing"/>
    <w:uiPriority w:val="1"/>
    <w:qFormat/>
    <w:rsid w:val="00762B11"/>
    <w:pPr>
      <w:spacing w:after="0" w:line="240" w:lineRule="auto"/>
    </w:pPr>
  </w:style>
  <w:style w:type="paragraph" w:customStyle="1" w:styleId="ConsPlusTitle">
    <w:name w:val="ConsPlusTitle"/>
    <w:rsid w:val="00D26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26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Порядка сбора, расходования и
распределения денежных средств населения и спонсоров
при участии в Проекте по поддержке местных инициатив
</_x041e__x043f__x0438__x0441__x0430__x043d__x0438__x0435_>
    <_x043f__x0430__x043f__x043a__x0430_ xmlns="100592a6-105b-4b8e-ad28-edd34a5a287f">2020</_x043f__x0430__x043f__x043a__x0430_>
    <_dlc_DocId xmlns="57504d04-691e-4fc4-8f09-4f19fdbe90f6">XXJ7TYMEEKJ2-4125-142</_dlc_DocId>
    <_dlc_DocIdUrl xmlns="57504d04-691e-4fc4-8f09-4f19fdbe90f6">
      <Url>https://vip.gov.mari.ru/kilemary/sp_uksary/_layouts/DocIdRedir.aspx?ID=XXJ7TYMEEKJ2-4125-142</Url>
      <Description>XXJ7TYMEEKJ2-4125-142</Description>
    </_dlc_DocIdUrl>
  </documentManagement>
</p:properties>
</file>

<file path=customXml/itemProps1.xml><?xml version="1.0" encoding="utf-8"?>
<ds:datastoreItem xmlns:ds="http://schemas.openxmlformats.org/officeDocument/2006/customXml" ds:itemID="{C9C9D595-E48A-4725-988A-0BB53E32B755}"/>
</file>

<file path=customXml/itemProps2.xml><?xml version="1.0" encoding="utf-8"?>
<ds:datastoreItem xmlns:ds="http://schemas.openxmlformats.org/officeDocument/2006/customXml" ds:itemID="{7694BED6-141A-49B1-B059-038301F91D87}"/>
</file>

<file path=customXml/itemProps3.xml><?xml version="1.0" encoding="utf-8"?>
<ds:datastoreItem xmlns:ds="http://schemas.openxmlformats.org/officeDocument/2006/customXml" ds:itemID="{83A478CE-10A8-486A-875C-5FBAEFB7B485}"/>
</file>

<file path=customXml/itemProps4.xml><?xml version="1.0" encoding="utf-8"?>
<ds:datastoreItem xmlns:ds="http://schemas.openxmlformats.org/officeDocument/2006/customXml" ds:itemID="{9737355F-BB63-4470-A19E-35E90118B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августа  2020 г. № 24</dc:title>
  <dc:subject/>
  <dc:creator>admin</dc:creator>
  <cp:keywords/>
  <dc:description/>
  <cp:lastModifiedBy>User</cp:lastModifiedBy>
  <cp:revision>8</cp:revision>
  <cp:lastPrinted>2020-08-18T13:27:00Z</cp:lastPrinted>
  <dcterms:created xsi:type="dcterms:W3CDTF">2020-06-17T10:32:00Z</dcterms:created>
  <dcterms:modified xsi:type="dcterms:W3CDTF">2020-08-18T13:27:00Z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596b30e3-e808-462e-9943-133316eabb55</vt:lpwstr>
  </property>
</Properties>
</file>