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3FC2">
        <w:rPr>
          <w:rFonts w:ascii="Times New Roman" w:hAnsi="Times New Roman" w:cs="Times New Roman"/>
          <w:b/>
          <w:sz w:val="24"/>
          <w:szCs w:val="28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66421925" r:id="rId9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F23FC2" w:rsidRPr="00F23FC2" w:rsidTr="00F23FC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23FC2" w:rsidRPr="00F23FC2" w:rsidRDefault="00F23FC2" w:rsidP="00F23FC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МАРЫ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ЭЛ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</w:p>
          <w:p w:rsidR="00F23FC2" w:rsidRPr="00F23FC2" w:rsidRDefault="00F23FC2" w:rsidP="00F23FC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F23FC2">
              <w:rPr>
                <w:b/>
                <w:sz w:val="24"/>
                <w:szCs w:val="28"/>
              </w:rPr>
              <w:t>ШТ</w:t>
            </w:r>
            <w:proofErr w:type="gramEnd"/>
            <w:r w:rsidRPr="00F23FC2">
              <w:rPr>
                <w:b/>
                <w:sz w:val="24"/>
                <w:szCs w:val="28"/>
              </w:rPr>
              <w:t>ӸШӸ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КИЛЕМАР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МУНИЦИПАЛЬНЫЙ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РАЙОНЫН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НЕЖНУР</w:t>
            </w:r>
            <w:r w:rsidR="009A7AAF"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СОЛА</w:t>
            </w:r>
          </w:p>
          <w:p w:rsidR="00F23FC2" w:rsidRPr="00F23FC2" w:rsidRDefault="00F23FC2" w:rsidP="00F23FC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АДМИНИСТРАЦИЖӸ</w:t>
            </w:r>
          </w:p>
          <w:p w:rsidR="00F23FC2" w:rsidRPr="00F23FC2" w:rsidRDefault="00F23FC2" w:rsidP="00F23FC2">
            <w:pPr>
              <w:pStyle w:val="a5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23FC2" w:rsidRPr="00F23FC2" w:rsidRDefault="00F23FC2" w:rsidP="00F23F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23FC2" w:rsidRPr="00F23FC2" w:rsidRDefault="00F23FC2" w:rsidP="00F23FC2">
            <w:pPr>
              <w:pStyle w:val="a3"/>
              <w:spacing w:after="0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F23FC2">
              <w:rPr>
                <w:b/>
                <w:szCs w:val="28"/>
              </w:rPr>
              <w:t>НЕЖНУРСКАЯ</w:t>
            </w:r>
            <w:r w:rsidR="009A7AAF">
              <w:rPr>
                <w:b/>
                <w:szCs w:val="28"/>
              </w:rPr>
              <w:t xml:space="preserve"> </w:t>
            </w:r>
            <w:r w:rsidRPr="00F23FC2">
              <w:rPr>
                <w:b/>
                <w:szCs w:val="28"/>
              </w:rPr>
              <w:t>СЕЛЬСКАЯ</w:t>
            </w:r>
            <w:r w:rsidR="009A7AAF">
              <w:rPr>
                <w:b/>
                <w:szCs w:val="28"/>
              </w:rPr>
              <w:t xml:space="preserve"> </w:t>
            </w:r>
            <w:r w:rsidRPr="00F23FC2">
              <w:rPr>
                <w:b/>
                <w:szCs w:val="28"/>
              </w:rPr>
              <w:t>АДМИНИСТРАЦИЯ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КИЛЕМАРСКОГО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МУНИЦИПАЛЬНОГО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РАЙОНА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РЕСПУБЛИКИ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МАРИЙ</w:t>
            </w:r>
            <w:r w:rsidR="009A7AAF"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ЭЛ</w:t>
            </w:r>
          </w:p>
          <w:p w:rsidR="00F23FC2" w:rsidRPr="00F23FC2" w:rsidRDefault="00F23FC2" w:rsidP="00F23FC2">
            <w:pPr>
              <w:pStyle w:val="a3"/>
              <w:spacing w:after="0"/>
              <w:jc w:val="center"/>
              <w:rPr>
                <w:b/>
                <w:spacing w:val="-6"/>
                <w:szCs w:val="28"/>
                <w:lang w:eastAsia="ar-SA"/>
              </w:rPr>
            </w:pPr>
          </w:p>
        </w:tc>
      </w:tr>
      <w:tr w:rsidR="00F23FC2" w:rsidRPr="00F23FC2" w:rsidTr="00F23FC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C2" w:rsidRPr="00F23FC2" w:rsidRDefault="00F23FC2" w:rsidP="00F23F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F23FC2">
              <w:rPr>
                <w:rFonts w:ascii="Times New Roman" w:hAnsi="Times New Roman" w:cs="Times New Roman"/>
                <w:b/>
                <w:sz w:val="24"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FC2" w:rsidRPr="00F23FC2" w:rsidRDefault="00F23FC2" w:rsidP="00F23F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C2" w:rsidRPr="00F23FC2" w:rsidRDefault="00F23FC2" w:rsidP="00F23FC2">
            <w:pPr>
              <w:pStyle w:val="1"/>
              <w:rPr>
                <w:sz w:val="24"/>
                <w:szCs w:val="28"/>
              </w:rPr>
            </w:pPr>
            <w:r w:rsidRPr="00F23FC2">
              <w:rPr>
                <w:sz w:val="24"/>
                <w:szCs w:val="28"/>
              </w:rPr>
              <w:t>ПОСТАНОВЛЕНИЕ</w:t>
            </w:r>
          </w:p>
        </w:tc>
      </w:tr>
    </w:tbl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FC2" w:rsidRPr="00F23FC2" w:rsidRDefault="00F23FC2" w:rsidP="00F2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FC2">
        <w:rPr>
          <w:rFonts w:ascii="Times New Roman" w:hAnsi="Times New Roman" w:cs="Times New Roman"/>
          <w:sz w:val="28"/>
          <w:szCs w:val="28"/>
        </w:rPr>
        <w:t>от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="00395D4D">
        <w:rPr>
          <w:rFonts w:ascii="Times New Roman" w:hAnsi="Times New Roman" w:cs="Times New Roman"/>
          <w:sz w:val="28"/>
          <w:szCs w:val="28"/>
        </w:rPr>
        <w:t>09 ноября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Pr="00F23FC2">
        <w:rPr>
          <w:rFonts w:ascii="Times New Roman" w:hAnsi="Times New Roman" w:cs="Times New Roman"/>
          <w:sz w:val="28"/>
          <w:szCs w:val="28"/>
        </w:rPr>
        <w:t>2020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Pr="00F23FC2">
        <w:rPr>
          <w:rFonts w:ascii="Times New Roman" w:hAnsi="Times New Roman" w:cs="Times New Roman"/>
          <w:sz w:val="28"/>
          <w:szCs w:val="28"/>
        </w:rPr>
        <w:t>года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Pr="00F23FC2">
        <w:rPr>
          <w:rFonts w:ascii="Times New Roman" w:hAnsi="Times New Roman" w:cs="Times New Roman"/>
          <w:sz w:val="28"/>
          <w:szCs w:val="28"/>
        </w:rPr>
        <w:t>№</w:t>
      </w:r>
      <w:r w:rsidR="009A7AAF">
        <w:rPr>
          <w:rFonts w:ascii="Times New Roman" w:hAnsi="Times New Roman" w:cs="Times New Roman"/>
          <w:sz w:val="28"/>
          <w:szCs w:val="28"/>
        </w:rPr>
        <w:t xml:space="preserve"> </w:t>
      </w:r>
      <w:r w:rsidR="00395D4D">
        <w:rPr>
          <w:rFonts w:ascii="Times New Roman" w:hAnsi="Times New Roman" w:cs="Times New Roman"/>
          <w:sz w:val="28"/>
          <w:szCs w:val="28"/>
        </w:rPr>
        <w:t>41</w:t>
      </w:r>
    </w:p>
    <w:p w:rsidR="00F23FC2" w:rsidRDefault="00F23FC2" w:rsidP="00F23FC2">
      <w:pPr>
        <w:spacing w:after="0" w:line="240" w:lineRule="auto"/>
        <w:jc w:val="center"/>
        <w:rPr>
          <w:rFonts w:ascii="Times New Roman" w:eastAsia="Arial" w:hAnsi="Times New Roman" w:cs="Times New Roman"/>
          <w:caps/>
          <w:sz w:val="28"/>
          <w:szCs w:val="28"/>
        </w:rPr>
      </w:pPr>
    </w:p>
    <w:p w:rsidR="00395D4D" w:rsidRDefault="00395D4D" w:rsidP="00F23FC2">
      <w:pPr>
        <w:spacing w:after="0" w:line="240" w:lineRule="auto"/>
        <w:jc w:val="center"/>
        <w:rPr>
          <w:rFonts w:ascii="Times New Roman" w:eastAsia="Arial" w:hAnsi="Times New Roman" w:cs="Times New Roman"/>
          <w:caps/>
          <w:sz w:val="28"/>
          <w:szCs w:val="28"/>
        </w:rPr>
      </w:pPr>
    </w:p>
    <w:p w:rsidR="00395D4D" w:rsidRPr="00395D4D" w:rsidRDefault="00395D4D" w:rsidP="00F23FC2">
      <w:pPr>
        <w:spacing w:after="0" w:line="240" w:lineRule="auto"/>
        <w:jc w:val="center"/>
        <w:rPr>
          <w:rFonts w:ascii="Times New Roman" w:eastAsia="Arial" w:hAnsi="Times New Roman" w:cs="Times New Roman"/>
          <w:caps/>
          <w:sz w:val="28"/>
          <w:szCs w:val="28"/>
        </w:rPr>
      </w:pP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помещениях»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5D4D" w:rsidRPr="00F23FC2" w:rsidRDefault="00395D4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48ED" w:rsidRPr="009B5F41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предоставления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государственных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</w:t>
        </w:r>
        <w:r w:rsidR="009A7AAF"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услуг»</w:t>
        </w:r>
      </w:hyperlink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Нежнурская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помещениях».</w:t>
      </w:r>
    </w:p>
    <w:p w:rsidR="009B5F41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9B5F41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7AAF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9B5F41"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«Нежнурское сельское поселение»</w:t>
      </w:r>
      <w:r w:rsidR="00703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8ED" w:rsidRPr="007031E1" w:rsidRDefault="009B5F41" w:rsidP="00703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2012 года</w:t>
      </w:r>
      <w:r w:rsidRPr="009B5F41">
        <w:rPr>
          <w:rFonts w:ascii="Times New Roman" w:hAnsi="Times New Roman" w:cs="Times New Roman"/>
          <w:sz w:val="28"/>
          <w:szCs w:val="28"/>
        </w:rPr>
        <w:t xml:space="preserve"> № 34 «Об утверждении административного регламента предоставления муниципальной услуги «Принятие граждан на </w:t>
      </w:r>
      <w:r w:rsidRPr="007031E1">
        <w:rPr>
          <w:rFonts w:ascii="Times New Roman" w:hAnsi="Times New Roman" w:cs="Times New Roman"/>
          <w:sz w:val="28"/>
          <w:szCs w:val="28"/>
        </w:rPr>
        <w:t>учет в качестве нуждающихся в жилых помещениях»</w:t>
      </w:r>
      <w:r w:rsidR="007031E1">
        <w:rPr>
          <w:rFonts w:ascii="Times New Roman" w:hAnsi="Times New Roman" w:cs="Times New Roman"/>
          <w:sz w:val="28"/>
          <w:szCs w:val="28"/>
        </w:rPr>
        <w:t>;</w:t>
      </w:r>
    </w:p>
    <w:p w:rsidR="007031E1" w:rsidRPr="007031E1" w:rsidRDefault="007031E1" w:rsidP="00703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1E1">
        <w:rPr>
          <w:rFonts w:ascii="Times New Roman" w:hAnsi="Times New Roman" w:cs="Times New Roman"/>
          <w:sz w:val="28"/>
          <w:szCs w:val="28"/>
        </w:rPr>
        <w:t>от 28 января 2014 года №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31E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«Нежнурское сельское поселение» от 28 декабря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E1">
        <w:rPr>
          <w:rFonts w:ascii="Times New Roman" w:hAnsi="Times New Roman" w:cs="Times New Roman"/>
          <w:sz w:val="28"/>
          <w:szCs w:val="28"/>
        </w:rPr>
        <w:t xml:space="preserve">34 «Об утверждении административного регламента предоставления муниципальной услуги «Принятие граждан на учет в качестве нуждающихся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E1">
        <w:rPr>
          <w:rFonts w:ascii="Times New Roman" w:hAnsi="Times New Roman" w:cs="Times New Roman"/>
          <w:sz w:val="28"/>
          <w:szCs w:val="28"/>
        </w:rPr>
        <w:t>жилых помещениях»</w:t>
      </w:r>
    </w:p>
    <w:p w:rsidR="009B5F41" w:rsidRPr="007031E1" w:rsidRDefault="009B5F41" w:rsidP="007031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0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19 февраля 2015 года № 4 «</w:t>
      </w:r>
      <w:r w:rsidRPr="007031E1">
        <w:rPr>
          <w:rFonts w:ascii="Times New Roman" w:hAnsi="Times New Roman" w:cs="Times New Roman"/>
          <w:bCs/>
          <w:sz w:val="28"/>
          <w:szCs w:val="28"/>
          <w:lang w:eastAsia="ar-SA"/>
        </w:rPr>
        <w:t>О внесении изменений в административный регламент предоставления муниципальной слуги « Принятие граждан на учет в качестве нуждающихся в жилых помещениях», утвержденный постановлением администрации Нежнурского сельского поселения от 28 декабря 2012 г № 34»</w:t>
      </w:r>
      <w:proofErr w:type="gramEnd"/>
    </w:p>
    <w:p w:rsidR="007031E1" w:rsidRPr="007031E1" w:rsidRDefault="007031E1" w:rsidP="007031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031E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7031E1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от «15» мая 2019 года № 10 «О внесении изменений в административный регламент предоставления муниципальной услуги </w:t>
      </w:r>
      <w:r w:rsidRPr="007031E1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>«Принятие граждан на учет в качестве нуждающихся в жилых помещениях», утвержденный постановлением администрации Нежнурского сельского поселения  от 28.12.2012 № 34»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Нежнурской сельской администрации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31E1" w:rsidRDefault="007031E1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Нежнурской </w:t>
      </w:r>
    </w:p>
    <w:p w:rsidR="00A148ED" w:rsidRPr="00F23FC2" w:rsidRDefault="007031E1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М.Л.Пуштарекова</w:t>
      </w:r>
    </w:p>
    <w:p w:rsidR="007031E1" w:rsidRDefault="007031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148ED" w:rsidRPr="0075679F" w:rsidRDefault="00A148ED" w:rsidP="007031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A148ED" w:rsidRPr="0075679F" w:rsidRDefault="00395D4D" w:rsidP="007031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148ED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остановлением</w:t>
      </w:r>
      <w:r w:rsidR="00703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7AAF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Нежнурской </w:t>
      </w:r>
      <w:r w:rsidR="00A148ED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сельской</w:t>
      </w:r>
      <w:r w:rsidR="009A7AAF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48ED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A148ED" w:rsidRPr="0075679F" w:rsidRDefault="00A148ED" w:rsidP="007031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9A7AAF"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5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09.11.</w:t>
      </w:r>
      <w:r w:rsidR="00703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г. № </w:t>
      </w:r>
      <w:r w:rsidR="00395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</w:t>
      </w:r>
    </w:p>
    <w:p w:rsidR="00A148ED" w:rsidRPr="0075679F" w:rsidRDefault="009A7AAF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помещениях»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27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июля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2010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г.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210-ФЗ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организации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предоставления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муниципальных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услуг»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заявитель).</w:t>
      </w:r>
      <w:proofErr w:type="gramEnd"/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proofErr w:type="gramStart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 сельской администрации 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(уведомлений,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сообщений),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дается.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телефона-автоинформатора;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администрации».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учет).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апреля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2011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года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электронной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подписи»</w:t>
        </w:r>
      </w:hyperlink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поквартирной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(расторжении)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гражданина-заявителя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(расторжении)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гражданина-заявителя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(учебы)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налогооблагаемого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декларировать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луговой)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безвестно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разыскиваемых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истолковать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25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июня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2012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г.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634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(кадастровых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proofErr w:type="gramEnd"/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27.07.2010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210-ФЗ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организации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предоставления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муниципальных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услуг»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запрашивается;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нецензурные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пятилетнего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бесплатным.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нерабочий)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proofErr w:type="gramEnd"/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табличкой,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(вывесками)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касающимися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сканирующими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принадлежностями.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кресла-коляски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собак-проводников)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(зданию,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помещению),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кресла-коляски;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(зданиям,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собаки-проводника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25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июня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2012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г.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634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  <w:proofErr w:type="gramEnd"/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документообороту;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апреля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2011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года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электронной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подписи»</w:t>
        </w:r>
      </w:hyperlink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апреля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2011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года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63-ФЗ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«Об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электронной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подписи»</w:t>
        </w:r>
      </w:hyperlink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(полномочия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документообороту;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решении;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(внесудебный)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proofErr w:type="gramEnd"/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(внесудебном)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касающаяся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(внесудебном)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(внесудебный)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(внесудебном)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актами.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исправлений.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актами.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обращался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удовлетворяется,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нецензурных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какую-либо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обжалуется;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proofErr w:type="gram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D81FC6" w:rsidRDefault="00D81F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148ED" w:rsidRPr="00F23FC2" w:rsidRDefault="00A148ED" w:rsidP="00F2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proofErr w:type="gramStart"/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регламенту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помещениях»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A148ED" w:rsidRPr="00F23FC2" w:rsidRDefault="009A7AAF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proofErr w:type="spellEnd"/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заявителя)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регистрации)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телефона)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11.05.2005г.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4" w:tgtFrame="_blank" w:history="1"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регулировании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отдельных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жилищных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отношений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Республике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Марий</w:t>
        </w:r>
        <w:r w:rsidR="009A7A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23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Эл»</w:t>
        </w:r>
      </w:hyperlink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семьей,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состоящей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человек: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(степень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рождения)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(степень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рождения)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(степень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родства,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рождения)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«____»______________20___г.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FC6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FC6" w:rsidRDefault="00D81F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A148ED" w:rsidRPr="00F23FC2" w:rsidRDefault="00A148ED" w:rsidP="00F23F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регламенту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«Постановка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помещениях»</w:t>
      </w:r>
    </w:p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4F01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8ED" w:rsidRPr="00F23FC2" w:rsidRDefault="00A148ED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9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01" w:rsidRPr="00F2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90"/>
        <w:gridCol w:w="1463"/>
        <w:gridCol w:w="1351"/>
        <w:gridCol w:w="1319"/>
        <w:gridCol w:w="1327"/>
        <w:gridCol w:w="1046"/>
        <w:gridCol w:w="977"/>
      </w:tblGrid>
      <w:tr w:rsidR="00A148ED" w:rsidRPr="00F23FC2" w:rsidTr="00A148ED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принятого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заявителя,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семьи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(ФИО,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родственные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регистрации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месту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постановки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(дата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</w:t>
            </w:r>
            <w:proofErr w:type="spell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ение</w:t>
            </w:r>
            <w:proofErr w:type="spellEnd"/>
            <w:proofErr w:type="gram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жилого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A148ED" w:rsidRPr="00F23FC2" w:rsidRDefault="00A148ED" w:rsidP="00F23F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</w:t>
            </w:r>
            <w:proofErr w:type="spell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влении</w:t>
            </w:r>
            <w:proofErr w:type="spellEnd"/>
            <w:proofErr w:type="gram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жилого</w:t>
            </w:r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</w:t>
            </w:r>
            <w:proofErr w:type="spellEnd"/>
            <w:r w:rsidR="009A7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A148ED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9A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снятии</w:t>
            </w:r>
            <w:r w:rsidR="009A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A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</w:t>
            </w:r>
          </w:p>
        </w:tc>
      </w:tr>
      <w:tr w:rsidR="00A148ED" w:rsidRPr="00F23FC2" w:rsidTr="00A148ED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48ED" w:rsidRPr="00F23FC2" w:rsidTr="00A148ED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48ED" w:rsidRPr="00F23FC2" w:rsidRDefault="009A7AAF" w:rsidP="00F23FC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148ED" w:rsidRPr="00F23FC2" w:rsidRDefault="009A7AAF" w:rsidP="00F23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818" w:rsidRPr="00F23FC2" w:rsidRDefault="00413818" w:rsidP="00F23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3818" w:rsidRPr="00F23FC2" w:rsidSect="00395D4D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47" w:rsidRDefault="00264747" w:rsidP="00F23FC2">
      <w:pPr>
        <w:spacing w:after="0" w:line="240" w:lineRule="auto"/>
      </w:pPr>
      <w:r>
        <w:separator/>
      </w:r>
    </w:p>
  </w:endnote>
  <w:endnote w:type="continuationSeparator" w:id="0">
    <w:p w:rsidR="00264747" w:rsidRDefault="00264747" w:rsidP="00F2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47" w:rsidRDefault="00264747" w:rsidP="00F23FC2">
      <w:pPr>
        <w:spacing w:after="0" w:line="240" w:lineRule="auto"/>
      </w:pPr>
      <w:r>
        <w:separator/>
      </w:r>
    </w:p>
  </w:footnote>
  <w:footnote w:type="continuationSeparator" w:id="0">
    <w:p w:rsidR="00264747" w:rsidRDefault="00264747" w:rsidP="00F2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ED"/>
    <w:rsid w:val="00112476"/>
    <w:rsid w:val="00264747"/>
    <w:rsid w:val="00395D4D"/>
    <w:rsid w:val="00413818"/>
    <w:rsid w:val="004F549E"/>
    <w:rsid w:val="007031E1"/>
    <w:rsid w:val="0075679F"/>
    <w:rsid w:val="007C2085"/>
    <w:rsid w:val="008E4F01"/>
    <w:rsid w:val="009A7AAF"/>
    <w:rsid w:val="009B5F41"/>
    <w:rsid w:val="009F70EB"/>
    <w:rsid w:val="00A148ED"/>
    <w:rsid w:val="00C65B64"/>
    <w:rsid w:val="00D81FC6"/>
    <w:rsid w:val="00F23FC2"/>
    <w:rsid w:val="00F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F23F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23F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3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FC2"/>
  </w:style>
  <w:style w:type="paragraph" w:styleId="a9">
    <w:name w:val="Balloon Text"/>
    <w:basedOn w:val="a"/>
    <w:link w:val="aa"/>
    <w:uiPriority w:val="99"/>
    <w:semiHidden/>
    <w:unhideWhenUsed/>
    <w:rsid w:val="003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F23F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23F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3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FC2"/>
  </w:style>
  <w:style w:type="paragraph" w:styleId="a9">
    <w:name w:val="Balloon Text"/>
    <w:basedOn w:val="a"/>
    <w:link w:val="aa"/>
    <w:uiPriority w:val="99"/>
    <w:semiHidden/>
    <w:unhideWhenUsed/>
    <w:rsid w:val="003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:8080/bigs/showDocument.html?id=BBA0BFB1-06C7-4E50-A8D3-FE1045784BF1" TargetMode="External"/><Relationship Id="rId18" Type="http://schemas.openxmlformats.org/officeDocument/2006/relationships/hyperlink" Target="http://pravo.minjust.ru:8080/bigs/showDocument.html?id=BBA0BFB1-06C7-4E50-A8D3-FE1045784BF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:8080/bigs/showDocument.html?id=03CF0FB8-17D5-46F6-A5EC-D1642676534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BBA0BFB1-06C7-4E50-A8D3-FE1045784BF1" TargetMode="External"/><Relationship Id="rId17" Type="http://schemas.openxmlformats.org/officeDocument/2006/relationships/hyperlink" Target="http://pravo.minjust.ru:8080/bigs/showDocument.html?id=BBA0BFB1-06C7-4E50-A8D3-FE1045784BF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4B713A73-14DE-4295-929D-9283DCC04E68" TargetMode="External"/><Relationship Id="rId20" Type="http://schemas.openxmlformats.org/officeDocument/2006/relationships/hyperlink" Target="http://pravo.minjust.ru:8080/bigs/showDocument.html?id=03CF0FB8-17D5-46F6-A5EC-D1642676534B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BBA0BFB1-06C7-4E50-A8D3-FE1045784BF1" TargetMode="External"/><Relationship Id="rId24" Type="http://schemas.openxmlformats.org/officeDocument/2006/relationships/hyperlink" Target="http://pravo.minjust.ru:8080/bigs/showDocument.html?id=E5DD1C80-8A7D-4F3E-B607-9DA056C058D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03CF0FB8-17D5-46F6-A5EC-D1642676534B" TargetMode="External"/><Relationship Id="rId23" Type="http://schemas.openxmlformats.org/officeDocument/2006/relationships/hyperlink" Target="http://pravo.minjust.ru:8080/bigs/showDocument.html?id=03CF0FB8-17D5-46F6-A5EC-D1642676534B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pravo.minjust.ru:8080/bigs/showDocument.html?id=BBA0BFB1-06C7-4E50-A8D3-FE1045784BF1" TargetMode="External"/><Relationship Id="rId19" Type="http://schemas.openxmlformats.org/officeDocument/2006/relationships/hyperlink" Target="http://pravo.minjust.ru:8080/bigs/showDocument.html?id=4B713A73-14DE-4295-929D-9283DCC04E6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.minjust.ru:8080/bigs/showDocument.html?id=03CF0FB8-17D5-46F6-A5EC-D1642676534B" TargetMode="External"/><Relationship Id="rId22" Type="http://schemas.openxmlformats.org/officeDocument/2006/relationships/hyperlink" Target="http://pravo.minjust.ru:8080/bigs/showDocument.html?id=03CF0FB8-17D5-46F6-A5EC-D1642676534B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457EFDF9112F4993C79A01208E5460" ma:contentTypeVersion="1" ma:contentTypeDescription="Создание документа." ma:contentTypeScope="" ma:versionID="a1323b15ee9c189526a41e87ec6da90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«Постановка на учет граждан, нуждающихся в жилых помещениях»</_x041e__x043f__x0438__x0441__x0430__x043d__x0438__x0435_>
    <_dlc_DocId xmlns="57504d04-691e-4fc4-8f09-4f19fdbe90f6">XXJ7TYMEEKJ2-4072-52</_dlc_DocId>
    <_dlc_DocIdUrl xmlns="57504d04-691e-4fc4-8f09-4f19fdbe90f6">
      <Url>https://vip.gov.mari.ru/kilemary/sp_nesnur/_layouts/DocIdRedir.aspx?ID=XXJ7TYMEEKJ2-4072-52</Url>
      <Description>XXJ7TYMEEKJ2-4072-52</Description>
    </_dlc_DocIdUrl>
  </documentManagement>
</p:properties>
</file>

<file path=customXml/itemProps1.xml><?xml version="1.0" encoding="utf-8"?>
<ds:datastoreItem xmlns:ds="http://schemas.openxmlformats.org/officeDocument/2006/customXml" ds:itemID="{BC3FDB4E-CC24-4D68-98B6-9378BF0DAFF8}"/>
</file>

<file path=customXml/itemProps2.xml><?xml version="1.0" encoding="utf-8"?>
<ds:datastoreItem xmlns:ds="http://schemas.openxmlformats.org/officeDocument/2006/customXml" ds:itemID="{51237631-E3B0-4436-8031-D09D28BF0027}"/>
</file>

<file path=customXml/itemProps3.xml><?xml version="1.0" encoding="utf-8"?>
<ds:datastoreItem xmlns:ds="http://schemas.openxmlformats.org/officeDocument/2006/customXml" ds:itemID="{E417A87B-8D5B-43BE-9689-ED7A58372E90}"/>
</file>

<file path=customXml/itemProps4.xml><?xml version="1.0" encoding="utf-8"?>
<ds:datastoreItem xmlns:ds="http://schemas.openxmlformats.org/officeDocument/2006/customXml" ds:itemID="{8B3B38AA-9F39-4452-B5B3-71F43F70F3C9}"/>
</file>

<file path=customXml/itemProps5.xml><?xml version="1.0" encoding="utf-8"?>
<ds:datastoreItem xmlns:ds="http://schemas.openxmlformats.org/officeDocument/2006/customXml" ds:itemID="{87670094-9A60-450E-B28F-0492C32E3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9020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 ноября 2020 года № 41</dc:title>
  <dc:subject/>
  <dc:creator>Пользователь Windows</dc:creator>
  <cp:keywords/>
  <dc:description/>
  <cp:lastModifiedBy>Пуштарекова Марина Леонидовна</cp:lastModifiedBy>
  <cp:revision>7</cp:revision>
  <cp:lastPrinted>2020-11-09T07:12:00Z</cp:lastPrinted>
  <dcterms:created xsi:type="dcterms:W3CDTF">2020-08-27T07:48:00Z</dcterms:created>
  <dcterms:modified xsi:type="dcterms:W3CDTF">2020-11-09T07:12:00Z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0x01010029457EFDF9112F4993C79A01208E5460</vt:lpwstr>
  </property>
  <property fmtid="{D5CDD505-2E9C-101B-9397-08002B2CF9AE}" pid="3" name="_dlc_DocIdItemGuid">
    <vt:lpwstr>bbdb5958-4cd2-4f81-a44f-98e0d443c256</vt:lpwstr>
  </property>
</Properties>
</file>