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14" w:rsidRDefault="00984514" w:rsidP="00AF71A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Письмо Минтруда и соцзащиты Российской Федерации от 20.08.2013 г.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№ 18-2/10/1-3816</w:t>
      </w:r>
    </w:p>
    <w:p w:rsidR="00984514" w:rsidRDefault="00984514" w:rsidP="000915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84514" w:rsidRPr="00337045" w:rsidRDefault="00984514" w:rsidP="000915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Показ</w:t>
      </w:r>
      <w:r w:rsidRPr="00337045">
        <w:rPr>
          <w:rFonts w:ascii="Times New Roman" w:hAnsi="Times New Roman" w:cs="Times New Roman"/>
          <w:b/>
          <w:bCs/>
          <w:sz w:val="28"/>
          <w:szCs w:val="28"/>
          <w:lang w:val="ru-RU"/>
        </w:rPr>
        <w:t>атели оценки эффективности деятельности</w:t>
      </w:r>
    </w:p>
    <w:p w:rsidR="00984514" w:rsidRPr="00337045" w:rsidRDefault="00984514" w:rsidP="000915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370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подразделений кадровых служб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федеральных </w:t>
      </w:r>
      <w:r w:rsidRPr="00337045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государственных органов</w:t>
      </w:r>
    </w:p>
    <w:p w:rsidR="00984514" w:rsidRPr="00337045" w:rsidRDefault="00984514" w:rsidP="000915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3704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профилактике коррупционных и иных правонарушений</w:t>
      </w:r>
    </w:p>
    <w:p w:rsidR="00984514" w:rsidRPr="00337045" w:rsidRDefault="00984514" w:rsidP="000915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 алгоритм</w:t>
      </w:r>
      <w:r w:rsidRPr="003370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их применения</w:t>
      </w:r>
    </w:p>
    <w:p w:rsidR="00984514" w:rsidRPr="00337045" w:rsidRDefault="00984514" w:rsidP="005A6650">
      <w:pPr>
        <w:spacing w:after="0" w:line="240" w:lineRule="atLeast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984514" w:rsidRPr="00046461" w:rsidRDefault="00984514" w:rsidP="004A2CD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 w:eastAsia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Указом Президента Российской Федерации от 21 сентября 2009 г. № 1065 «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 w:eastAsia="ru-RU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» и Типовым положением о подразделении по профилактике коррупционных и иных правонарушений кадровой службы федерального государственного органа, утвержденным Аппаратом Правительства Российской Федерации 18 февраля 2010 г. № 647п-П16, определены функции подразделений кадровых служб федеральных государственных органов по профилактике коррупционных и иных правонарушений (далее  - подразделения</w:t>
      </w:r>
      <w:r w:rsidRPr="00046461">
        <w:rPr>
          <w:rStyle w:val="ac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).</w:t>
      </w:r>
    </w:p>
    <w:p w:rsidR="00984514" w:rsidRPr="00046461" w:rsidRDefault="00984514" w:rsidP="004A2CD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 w:eastAsia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На основе показателей, характеризующих эффективность осуществления подразделениями указанных функций, предлагается ежегодно проводить оценку эффективности деятельности подразделений кадровых служб федеральных государственных органов</w:t>
      </w:r>
      <w:r w:rsidRPr="00046461">
        <w:rPr>
          <w:rStyle w:val="ac"/>
          <w:rFonts w:ascii="Times New Roman" w:hAnsi="Times New Roman" w:cs="Times New Roman"/>
          <w:sz w:val="28"/>
          <w:szCs w:val="28"/>
          <w:lang w:val="ru-RU"/>
        </w:rPr>
        <w:footnoteReference w:customMarkFollows="1" w:id="2"/>
        <w:t>**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position w:val="6"/>
          <w:sz w:val="28"/>
          <w:szCs w:val="28"/>
          <w:lang w:val="ru-RU"/>
        </w:rPr>
        <w:t>(далее – федеральные государственные органы)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 за отчетный период 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 w:eastAsia="ru-RU"/>
        </w:rPr>
        <w:t>с 1 января по 31 декабря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 в следующем порядке.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На первом этапе федеральные государственные органы заполняют приведенную ниже форму (таблицу</w:t>
      </w:r>
      <w:r w:rsidRPr="00046461">
        <w:rPr>
          <w:rFonts w:ascii="Times New Roman" w:hAnsi="Times New Roman" w:cs="Times New Roman"/>
          <w:b/>
          <w:bCs/>
          <w:position w:val="6"/>
          <w:sz w:val="28"/>
          <w:szCs w:val="28"/>
          <w:lang w:val="ru-RU"/>
        </w:rPr>
        <w:t xml:space="preserve"> 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показателей оценки эффективности деятельности подразделений кадровых служб федеральных государственных органов по профилактике коррупционных и иных правонарушений, состоящую из трех основных разделов), содержащую показатели оценки эффективности деятельности подразделений (далее - форма 1).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При наличии у федерального государственного органа территориальных органов информация по ним подлежит обобщению и анализу в центральном 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lastRenderedPageBreak/>
        <w:t>аппарате федерального государственного органа. По итогам проведенного анализа осуществляется подсчет баллов по каждому территориальному органу. Центральным аппаратом федерального государственного органа  заполняется приведенная ниже форма 2, в которой указываются полученные в результате проведенного анализа баллы по каждому территориальному органу. Решение о включении конкретных показателей оценки эффективности деятельности подразделений принимается с учетом установленных функций (если функции не  возложены - ставится балл как за реализованное мероприятие).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В целях повышения объективности оценку предлагается осуществлять в баллах на основе: 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внутренних показателей (показатели, отражающие текущую деятельность подразделений,  показатели результативности деятельности подразделений); 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внешнего показателя, определяемого по итогам онлайн-опроса граждан.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Оценку деятельности подразделений предлагается осуществлять 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br/>
        <w:t xml:space="preserve">по 100-балльной шкале путем сложения показателей по каждому из трех разделов формы 1. При этом: 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а) минимальный суммарный оценочный балл составляет: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по разделу I - 2,9;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по разделу II - 18;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по разделу III - 5.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б) максимальный суммарный оценочный балл составляет: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по разделу  I - 40;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по разделу II - 40;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по разделу III - 20.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Таким образом, минимальный итоговый балл, который может получить федеральный государственный орган, составляет 25,9, максимальный - 100. Вес каждого показателя рассчитан таким образом, чтобы исключить возможность оказать влияние на повышение или понижение итогового результата, например, в случае целенаправленного завышения  показателя раздела </w:t>
      </w:r>
      <w:r w:rsidRPr="00046461">
        <w:rPr>
          <w:rFonts w:ascii="Times New Roman" w:hAnsi="Times New Roman" w:cs="Times New Roman"/>
          <w:position w:val="6"/>
          <w:sz w:val="28"/>
          <w:szCs w:val="28"/>
        </w:rPr>
        <w:t>III 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(путем применения специальных программных средств, проведения агитации (в том числе государственных служащих) в целях голосования за определенную оценку уровня). 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С учетом изложенного, а также принимая во внимание максимальные суммарные оценочные баллы по разделам </w:t>
      </w:r>
      <w:r w:rsidRPr="00046461">
        <w:rPr>
          <w:rFonts w:ascii="Times New Roman" w:hAnsi="Times New Roman" w:cs="Times New Roman"/>
          <w:position w:val="6"/>
          <w:sz w:val="28"/>
          <w:szCs w:val="28"/>
        </w:rPr>
        <w:t>I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 и </w:t>
      </w:r>
      <w:r w:rsidRPr="00046461">
        <w:rPr>
          <w:rFonts w:ascii="Times New Roman" w:hAnsi="Times New Roman" w:cs="Times New Roman"/>
          <w:position w:val="6"/>
          <w:sz w:val="28"/>
          <w:szCs w:val="28"/>
        </w:rPr>
        <w:t>II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, предлагаемый алгоритм позволит установить объективную оценку эффективности деятельности подразделений федеральных государственных органов.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sz w:val="28"/>
          <w:szCs w:val="28"/>
          <w:lang w:val="ru-RU"/>
        </w:rPr>
        <w:t xml:space="preserve">Показатель, определяемый по итогам онлайн-опроса граждан «Оценка работы по противодействию коррупции, проводимой подразделением в ФГО, которая дана гражданами по результатам онлайн-опроса, проводимого в </w:t>
      </w:r>
      <w:r w:rsidRPr="00046461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режиме реального времени на официальном интернет-сайте ФГО - высокий уровень, средний уровень, низкий уровень (при равном количестве голосов начисляется более высокий балл)» применяется следующим образом.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sz w:val="28"/>
          <w:szCs w:val="28"/>
          <w:lang w:val="ru-RU"/>
        </w:rPr>
        <w:t xml:space="preserve">За день до начала онлайн-опроса осуществляется информационное оповещение населения через средства массовой информации и иными способами (размещение информации на стендах в федеральных государственных органах) о проведении соответствующего онлайн-опроса граждан. 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sz w:val="28"/>
          <w:szCs w:val="28"/>
          <w:lang w:val="ru-RU"/>
        </w:rPr>
        <w:t>Обозначенный онлайн-опрос проводится ежегодно с 1 мая по 31 декабря  путем размещения в подразделе «Доклады, отчеты, обзоры, статистическая информация» подраздела «Противодействие коррупции»   официального интернет-сайта федерального государственного органа (территориального органа) вопроса «Как  Вы оцениваете работу, проводимую подразделением по противодействию коррупции (наименование федерального государственного органа) в 20… году?» и вариантов ответов («высокий уровень», «средний уровень», «низкий уровень») с возможностью проголосовать за один из представленных ответов (с последующим отображением результата голосования). Итоговый результат голосования (по состоянию на 31 декабря) по завершении онлайн-опроса из обозначенного подраздела не удаляется.</w:t>
      </w:r>
    </w:p>
    <w:p w:rsidR="00984514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sz w:val="28"/>
          <w:szCs w:val="28"/>
          <w:lang w:val="ru-RU"/>
        </w:rPr>
        <w:t>Требования к количеству, а также субъектной принадлежности граждан, участвующих в онлайн-опросе, не предъявляются.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Заполненные формы 1 и 2 до 1 марта года, следующего за отчетным периодом, направляются федеральными государственными органами в Минтруд России.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На втором этапе Минтрудом России анализируется представленная по установленной форме информация, определяется эффективность деятельности подразделений и принимается решение об осуществлении обязательной выборочной проверки соблюдения методологии расчета представленных показателей оценки эффективности деятельности минимум 6, но не более 25 подразделений. Проверка осуществляется путем направления соответствующих запросов в федеральный государственный орган, изучения информации, содержащейся на официальном сайте федерального государственного органа в информационно-телекоммуникационной сети «Интернет», дополнительных материалов, представленных федеральным государственным органом. При этом решение об осуществлении проверки соблюдения методологии расчета представленных показателей оценки эффектив</w:t>
      </w:r>
      <w:r>
        <w:rPr>
          <w:rFonts w:ascii="Times New Roman" w:hAnsi="Times New Roman" w:cs="Times New Roman"/>
          <w:position w:val="6"/>
          <w:sz w:val="28"/>
          <w:szCs w:val="28"/>
          <w:lang w:val="ru-RU"/>
        </w:rPr>
        <w:t>ности деятельности подразделения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 Минтруда России прин</w:t>
      </w:r>
      <w:r>
        <w:rPr>
          <w:rFonts w:ascii="Times New Roman" w:hAnsi="Times New Roman" w:cs="Times New Roman"/>
          <w:position w:val="6"/>
          <w:sz w:val="28"/>
          <w:szCs w:val="28"/>
          <w:lang w:val="ru-RU"/>
        </w:rPr>
        <w:t>имает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 Аппарат Правительства Российской Федерации.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В случае выявления ошибок при проведении расчетов федеральный государственный орган представляет повторно заполненные формы 1 и 2</w:t>
      </w:r>
      <w:r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 п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осле поступления соответствующего письма от Минтруда России</w:t>
      </w:r>
      <w:r>
        <w:rPr>
          <w:rFonts w:ascii="Times New Roman" w:hAnsi="Times New Roman" w:cs="Times New Roman"/>
          <w:position w:val="6"/>
          <w:sz w:val="28"/>
          <w:szCs w:val="28"/>
          <w:lang w:val="ru-RU"/>
        </w:rPr>
        <w:t>.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  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При этом предлагается эффективность работы подразделений считать при итоговом результате, равном: 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от 90 до 100 баллов – высокой; 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от 70 до 90 баллов – средней; 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от 50 до 70 баллов – низкой; 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менее 50 баллов – неудовлетворительной. 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На основе полученных данных Минтруд России формирует рейтинг подразделений соответствующих федеральных государственных органов и их территориальных органов для сопоставления итогов их деятельности за истекший год.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Рейтинг, сформированный по результатам деятельности подразделений федеральных государственных органов представл</w:t>
      </w:r>
      <w:r>
        <w:rPr>
          <w:rFonts w:ascii="Times New Roman" w:hAnsi="Times New Roman" w:cs="Times New Roman"/>
          <w:position w:val="6"/>
          <w:sz w:val="28"/>
          <w:szCs w:val="28"/>
          <w:lang w:val="ru-RU"/>
        </w:rPr>
        <w:t>яется Минтрудом России в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 Пра</w:t>
      </w:r>
      <w:r>
        <w:rPr>
          <w:rFonts w:ascii="Times New Roman" w:hAnsi="Times New Roman" w:cs="Times New Roman"/>
          <w:position w:val="6"/>
          <w:sz w:val="28"/>
          <w:szCs w:val="28"/>
          <w:lang w:val="ru-RU"/>
        </w:rPr>
        <w:t>вительство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 Российской Федерации до 30 апреля года, следующего за отчетным периодом.</w:t>
      </w:r>
    </w:p>
    <w:p w:rsidR="00984514" w:rsidRPr="00046461" w:rsidRDefault="00984514" w:rsidP="004A2CDA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Сформированный рейтинг позволит сопоставить динамику осуществляемой деятельности подразделениями федеральных государственных органов, их территориальных органов. </w:t>
      </w:r>
    </w:p>
    <w:p w:rsidR="00984514" w:rsidRPr="00046461" w:rsidRDefault="00984514" w:rsidP="004A2CDA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sz w:val="28"/>
          <w:szCs w:val="28"/>
          <w:lang w:val="ru-RU"/>
        </w:rPr>
        <w:t>Кроме того, проведение оценки по предлагаемой методике позволит осуществлять самодиагностику эффективности деятельности подразделений федеральных государственных  органов по профилактике коррупционных и иных правонарушений.</w:t>
      </w:r>
    </w:p>
    <w:p w:rsidR="00984514" w:rsidRPr="00046461" w:rsidRDefault="00984514" w:rsidP="004A2CDA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sz w:val="28"/>
          <w:szCs w:val="28"/>
          <w:lang w:val="ru-RU"/>
        </w:rPr>
        <w:t>Результаты практической деятельности подразделений федеральных государственных органов, набравших итоговый балл от 90 до 100, по итогам соответствующего анализа могут быть рекомендованы Минтрудом России в качестве лучшей практики в организации работы противодействию коррупции.</w:t>
      </w:r>
    </w:p>
    <w:p w:rsidR="00984514" w:rsidRPr="00046461" w:rsidRDefault="00984514" w:rsidP="004A2CD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>В федеральные государственные органы, набравшие итоговый бал</w:t>
      </w:r>
      <w:r>
        <w:rPr>
          <w:rFonts w:ascii="Times New Roman" w:hAnsi="Times New Roman" w:cs="Times New Roman"/>
          <w:position w:val="6"/>
          <w:sz w:val="28"/>
          <w:szCs w:val="28"/>
          <w:lang w:val="ru-RU"/>
        </w:rPr>
        <w:t>л</w:t>
      </w:r>
      <w:r w:rsidRPr="00046461">
        <w:rPr>
          <w:rFonts w:ascii="Times New Roman" w:hAnsi="Times New Roman" w:cs="Times New Roman"/>
          <w:position w:val="6"/>
          <w:sz w:val="28"/>
          <w:szCs w:val="28"/>
          <w:lang w:val="ru-RU"/>
        </w:rPr>
        <w:t xml:space="preserve"> менее 90, будут направлены рекомендации о необходимости активизации работы по конкретным направлениям. При этом результаты практической деятельности также по итогам соответствующего анализа подлежат использованию в работе Минтруда России по методическому обеспечению принимаемых мер, направленных на противодействие коррупции. </w:t>
      </w:r>
    </w:p>
    <w:p w:rsidR="00984514" w:rsidRPr="00337045" w:rsidRDefault="00984514" w:rsidP="005A6650">
      <w:pPr>
        <w:spacing w:after="0" w:line="360" w:lineRule="atLeast"/>
        <w:ind w:firstLine="720"/>
        <w:jc w:val="right"/>
        <w:rPr>
          <w:rFonts w:ascii="Times New Roman" w:hAnsi="Times New Roman" w:cs="Times New Roman"/>
          <w:position w:val="6"/>
          <w:sz w:val="28"/>
          <w:szCs w:val="28"/>
          <w:lang w:val="ru-RU" w:eastAsia="ru-RU"/>
        </w:rPr>
      </w:pPr>
    </w:p>
    <w:p w:rsidR="00984514" w:rsidRDefault="00984514" w:rsidP="005A6650">
      <w:pPr>
        <w:spacing w:after="0" w:line="360" w:lineRule="atLeast"/>
        <w:ind w:firstLine="720"/>
        <w:jc w:val="right"/>
        <w:rPr>
          <w:rFonts w:ascii="Times New Roman" w:hAnsi="Times New Roman" w:cs="Times New Roman"/>
          <w:position w:val="6"/>
          <w:sz w:val="28"/>
          <w:szCs w:val="28"/>
          <w:lang w:val="ru-RU" w:eastAsia="ru-RU"/>
        </w:rPr>
      </w:pPr>
    </w:p>
    <w:p w:rsidR="00984514" w:rsidRDefault="00984514" w:rsidP="005A6650">
      <w:pPr>
        <w:spacing w:after="0" w:line="360" w:lineRule="atLeast"/>
        <w:ind w:firstLine="720"/>
        <w:jc w:val="right"/>
        <w:rPr>
          <w:rFonts w:ascii="Times New Roman" w:hAnsi="Times New Roman" w:cs="Times New Roman"/>
          <w:position w:val="6"/>
          <w:sz w:val="28"/>
          <w:szCs w:val="28"/>
          <w:lang w:val="ru-RU" w:eastAsia="ru-RU"/>
        </w:rPr>
      </w:pPr>
    </w:p>
    <w:p w:rsidR="00984514" w:rsidRDefault="00984514" w:rsidP="005A6650">
      <w:pPr>
        <w:spacing w:after="0" w:line="360" w:lineRule="atLeast"/>
        <w:ind w:firstLine="720"/>
        <w:jc w:val="right"/>
        <w:rPr>
          <w:rFonts w:ascii="Times New Roman" w:hAnsi="Times New Roman" w:cs="Times New Roman"/>
          <w:position w:val="6"/>
          <w:sz w:val="28"/>
          <w:szCs w:val="28"/>
          <w:lang w:val="ru-RU" w:eastAsia="ru-RU"/>
        </w:rPr>
      </w:pPr>
    </w:p>
    <w:p w:rsidR="00984514" w:rsidRDefault="00984514" w:rsidP="005A6650">
      <w:pPr>
        <w:spacing w:after="0" w:line="360" w:lineRule="atLeast"/>
        <w:ind w:firstLine="720"/>
        <w:jc w:val="right"/>
        <w:rPr>
          <w:rFonts w:ascii="Times New Roman" w:hAnsi="Times New Roman" w:cs="Times New Roman"/>
          <w:position w:val="6"/>
          <w:sz w:val="28"/>
          <w:szCs w:val="28"/>
          <w:lang w:val="ru-RU" w:eastAsia="ru-RU"/>
        </w:rPr>
      </w:pPr>
    </w:p>
    <w:p w:rsidR="00984514" w:rsidRPr="00337045" w:rsidRDefault="00984514" w:rsidP="005A6650">
      <w:pPr>
        <w:spacing w:after="0" w:line="360" w:lineRule="atLeast"/>
        <w:ind w:firstLine="720"/>
        <w:jc w:val="right"/>
        <w:rPr>
          <w:rFonts w:ascii="Times New Roman" w:hAnsi="Times New Roman" w:cs="Times New Roman"/>
          <w:position w:val="6"/>
          <w:sz w:val="28"/>
          <w:szCs w:val="28"/>
          <w:lang w:val="ru-RU" w:eastAsia="ru-RU"/>
        </w:rPr>
      </w:pPr>
      <w:r w:rsidRPr="00337045">
        <w:rPr>
          <w:rFonts w:ascii="Times New Roman" w:hAnsi="Times New Roman" w:cs="Times New Roman"/>
          <w:position w:val="6"/>
          <w:sz w:val="28"/>
          <w:szCs w:val="28"/>
          <w:lang w:val="ru-RU" w:eastAsia="ru-RU"/>
        </w:rPr>
        <w:t>Форма 1</w:t>
      </w:r>
    </w:p>
    <w:p w:rsidR="00984514" w:rsidRPr="00337045" w:rsidRDefault="00984514" w:rsidP="005A6650">
      <w:pPr>
        <w:autoSpaceDE w:val="0"/>
        <w:autoSpaceDN w:val="0"/>
        <w:adjustRightInd w:val="0"/>
        <w:spacing w:after="0" w:line="240" w:lineRule="atLeast"/>
        <w:ind w:firstLine="720"/>
        <w:jc w:val="right"/>
        <w:rPr>
          <w:rFonts w:ascii="Times New Roman" w:hAnsi="Times New Roman" w:cs="Times New Roman"/>
          <w:position w:val="6"/>
          <w:sz w:val="28"/>
          <w:szCs w:val="28"/>
          <w:lang w:val="ru-RU" w:eastAsia="ru-RU"/>
        </w:rPr>
      </w:pPr>
    </w:p>
    <w:p w:rsidR="00984514" w:rsidRPr="00337045" w:rsidRDefault="00984514" w:rsidP="005A6650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984514" w:rsidRPr="00337045" w:rsidRDefault="00984514" w:rsidP="005A665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37045">
        <w:rPr>
          <w:rFonts w:ascii="Times New Roman" w:hAnsi="Times New Roman" w:cs="Times New Roman"/>
          <w:b/>
          <w:bCs/>
          <w:sz w:val="28"/>
          <w:szCs w:val="28"/>
          <w:lang w:val="ru-RU"/>
        </w:rPr>
        <w:t>Т А Б Л И Ц А</w:t>
      </w:r>
    </w:p>
    <w:p w:rsidR="00984514" w:rsidRPr="00337045" w:rsidRDefault="00984514" w:rsidP="005A6650">
      <w:pPr>
        <w:spacing w:after="0"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84514" w:rsidRPr="00337045" w:rsidRDefault="00984514" w:rsidP="005A665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370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показателей оценки эффективности деятельности подразделений кадровых служб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федеральных </w:t>
      </w:r>
      <w:r w:rsidRPr="00337045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государственных органов по профилактике коррупционных и иных правонарушений</w:t>
      </w:r>
    </w:p>
    <w:p w:rsidR="00984514" w:rsidRPr="00337045" w:rsidRDefault="00984514" w:rsidP="005A6650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984514" w:rsidRPr="00337045" w:rsidRDefault="00984514" w:rsidP="005A6650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992"/>
        <w:gridCol w:w="573"/>
        <w:gridCol w:w="399"/>
        <w:gridCol w:w="1063"/>
      </w:tblGrid>
      <w:tr w:rsidR="00984514" w:rsidRPr="00337045">
        <w:trPr>
          <w:tblHeader/>
        </w:trPr>
        <w:tc>
          <w:tcPr>
            <w:tcW w:w="817" w:type="dxa"/>
            <w:vAlign w:val="center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№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п\п</w:t>
            </w:r>
          </w:p>
        </w:tc>
        <w:tc>
          <w:tcPr>
            <w:tcW w:w="5954" w:type="dxa"/>
            <w:vAlign w:val="center"/>
          </w:tcPr>
          <w:p w:rsidR="00984514" w:rsidRPr="00337045" w:rsidRDefault="00984514" w:rsidP="00C738EC">
            <w:pPr>
              <w:spacing w:after="0" w:line="240" w:lineRule="atLeast"/>
              <w:ind w:firstLine="539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1565" w:type="dxa"/>
            <w:gridSpan w:val="2"/>
            <w:vAlign w:val="center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  <w:r w:rsidRPr="00F67063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footnoteReference w:customMarkFollows="1" w:id="3"/>
              <w:t>*</w:t>
            </w:r>
          </w:p>
        </w:tc>
        <w:tc>
          <w:tcPr>
            <w:tcW w:w="1462" w:type="dxa"/>
            <w:gridSpan w:val="2"/>
            <w:vAlign w:val="center"/>
          </w:tcPr>
          <w:p w:rsidR="00984514" w:rsidRPr="00337045" w:rsidRDefault="00984514" w:rsidP="00F670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*</w:t>
            </w:r>
          </w:p>
        </w:tc>
      </w:tr>
      <w:tr w:rsidR="00984514" w:rsidRPr="00AF71A5">
        <w:tc>
          <w:tcPr>
            <w:tcW w:w="9798" w:type="dxa"/>
            <w:gridSpan w:val="6"/>
            <w:vAlign w:val="center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I. Показатели, отражающие текущую деятельность подразделений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981" w:type="dxa"/>
            <w:gridSpan w:val="5"/>
          </w:tcPr>
          <w:p w:rsidR="00984514" w:rsidRPr="00337045" w:rsidRDefault="00984514" w:rsidP="00335E74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Штатная численность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Укомплектованность подразделений превышает или равна 85%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981" w:type="dxa"/>
            <w:gridSpan w:val="5"/>
          </w:tcPr>
          <w:p w:rsidR="00984514" w:rsidRPr="00337045" w:rsidRDefault="00984514" w:rsidP="00335E74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баз данных (журналов)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5954" w:type="dxa"/>
          </w:tcPr>
          <w:p w:rsidR="00984514" w:rsidRPr="00337045" w:rsidRDefault="00984514" w:rsidP="00F67063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прошитых и пронумерованных журналов и/или баз данных: регистрации уведомлений представителя нанимателя о случаях склонения государственных служащих к совершению коррупционных правонарушений; регистрации уведомлений представителя нанимателя о выполнении государственным служащим</w:t>
            </w:r>
            <w:r w:rsidRPr="00046461">
              <w:rPr>
                <w:rStyle w:val="ac"/>
                <w:rFonts w:ascii="Times New Roman" w:hAnsi="Times New Roman" w:cs="Times New Roman"/>
                <w:sz w:val="28"/>
                <w:szCs w:val="28"/>
                <w:lang w:val="ru-RU"/>
              </w:rPr>
              <w:footnoteReference w:customMarkFollows="1" w:id="4"/>
              <w:t>**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иной оплачиваемой работы (если иная оплачиваемая работа не выполняется, то ставится балл как за реализованное мероприятие); регистрации обращений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 (далее - замещение должности бывшим государственным служащим); регистрации уведомлений работодателя о замещении должности бывшим государственным служащим; регистрации обращений граждан о фактах коррупции или нарушения государственными служащими федеральных государственных органов (далее - ФГО) требований к служебному поведению (с учетом баз данных электронного документооборота в ФГ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 случае заполняемости полей «тема обращения»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2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более журналов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0,5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менее 2 журналов</w:t>
            </w:r>
          </w:p>
        </w:tc>
      </w:tr>
      <w:tr w:rsidR="00984514" w:rsidRPr="00AF71A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981" w:type="dxa"/>
            <w:gridSpan w:val="5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сведений о доходах, расходах, об имуществе и обязательствах имущественного характера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ФГО не реже 1 раза в год проводится оценка коррупционных рисков, на основе которой формируется, обновляется</w:t>
            </w:r>
            <w:r w:rsidRPr="00446558">
              <w:rPr>
                <w:rStyle w:val="ac"/>
                <w:lang w:val="ru-RU"/>
              </w:rPr>
              <w:footnoteReference w:customMarkFollows="1" w:id="5"/>
              <w:t>*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перечень должностей, при замещении которых лица обязаны представлять сведения о доходах, расходах, об имуществе и обязательствах имущественного характера (далее - сведения)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лиц, представивших сведения несвоевременно, а также не представивших их по неуважительной причине, от общего числа лиц, обязанных представлять такие сведения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3</w:t>
            </w:r>
            <w:r w:rsidRPr="004902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более или равно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Подразделение своевременно (в течение недели) уведомляет руководителя (и.о руководителя, врио руководителя) обо всех случаях непредставления сведений (если сведения представляются в установленный срок, то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за отчетный период опубликованы на официальном интернет-сайте ФГО в порядке, объеме и срок, установленные нормативными правовыми актами Российской Федерации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за отчетный период, а также сведения за предшествующие отчетные периоды опубликованы на официальном интернет-сайте ФГО без ограничений доступа в машиночитаемом формате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3.6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 и дополнения, сделанные государственным служащим, своевременно внесены в сведения, опубликованные на официальном интернет-сайте ФГО (если внесение изменений не требовалось, то 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AF71A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981" w:type="dxa"/>
            <w:gridSpan w:val="5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Уведомление о фактах обращения в целях склонения государственного служащего к совершению коррупционных правонарушений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нормативном правовом акте ФГО закреплен порядок регистрации уведомлений о фактах обращения в целях склонения государственных служащих к совершению коррупционных правонарушении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уведомлений представителя нанимателя о фактах обращения в целях склонения государственных служащих к совершению коррупционных правонарушений, по которым подразделением организована соответствующая проверка, от общего числа вышеуказанных уведомлений (если указанные уведомления не поступали, то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равно 100%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100%</w:t>
            </w:r>
          </w:p>
        </w:tc>
      </w:tr>
      <w:tr w:rsidR="00984514" w:rsidRPr="00AF71A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981" w:type="dxa"/>
            <w:gridSpan w:val="5"/>
          </w:tcPr>
          <w:p w:rsidR="00984514" w:rsidRPr="00337045" w:rsidRDefault="00984514" w:rsidP="00F55141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Уведомление о выполнении государственным служащим иной оплачиваемой работы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8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уведомлений представителя нанимателя о выполнении государственным служащим</w:t>
            </w:r>
            <w:r w:rsidRPr="00446558">
              <w:rPr>
                <w:rStyle w:val="ac"/>
              </w:rPr>
              <w:footnoteReference w:customMarkFollows="1" w:id="6"/>
              <w:sym w:font="Symbol" w:char="F02A"/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иной оплачиваемой работы, направленных представителю нанимателя до начала выполнения работы, от общего числа вышеуказанных уведомлений (если иная оплачиваемая работа не выполняется, то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1,5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более или равно 90%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90%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8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сведений, представленных государственными служащими, выполняющими иную оплачиваемую работу, которые были проанализированы на предмет указания доходов от иной оплачиваемой работы и сопоставлены с соответствующими уведомлениями представителя нанимателя о намерении выполнять иную оплачиваемую работу, от общего числа вышеуказанных сведений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*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(если иная оплачиваемая работа не выполняется, то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если более или равно 95%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если менее 95%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8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сведений, представленных государственными служащими, которые были проанализированы (в том числе соответствующими подразделениями федеральных государственных органов, уполномоченных на осуществление оперативно-разыскной деятельности) на предмет соблюдения государственным служащим запретов на занятие предпринимательской деятельностью и участия в органах управления коммерческих организаций, от общего числа вышеуказанных сведений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если более или равно 95%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95%</w:t>
            </w:r>
          </w:p>
        </w:tc>
      </w:tr>
      <w:tr w:rsidR="00984514" w:rsidRPr="00AF71A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981" w:type="dxa"/>
            <w:gridSpan w:val="5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по предотвращению и (или) урегулированию конфликта интересов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случаев возможности возникновения (возникновения) конфликта интересов, выявленных подразделением, к общему количеству случаев возможности возникновения (возникновения) конфликта интересов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более или равно 90%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0,5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90%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случаев возможности возникновения (возникновения) конфликта интересов, по которым приняты установленные законодательством Российской Федерации меры по их предотвращению (урегулированию), от общего числа установленных случаев возможности возникновения (возникновения) конфликта интересов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более или равно 100%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</w:p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100%</w:t>
            </w:r>
          </w:p>
        </w:tc>
      </w:tr>
      <w:tr w:rsidR="00984514" w:rsidRPr="00AF71A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981" w:type="dxa"/>
            <w:gridSpan w:val="5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Комиссия по соблюдению требований к служебному поведению и урегулированию конфликта интересов/Аттестационная комиссия (далее - комиссия)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информации о порядке обращения в комиссию и ее составе на официальном интернет-сайте ФГО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0,8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о результатах деятельности комиссии (обзор деятельности комиссии и принятых на ее заседаниях решений (выписок из протоколов заседаний), опубликованных (без указания персональных данных) на официальном интернет-сайте ФГО (при отсутствии оснований для заседания комиссии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копий протоколов заседаний комиссии, направленных в срок руководителю ФГО, государственному служащему и иным лицам, от общего числа протоколов заседаний комиссии (при отсутствии оснований для заседания комиссии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более или равно 90%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0,5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90%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отдельного дела для хранения материалов, связанных с работой комиссии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AF71A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981" w:type="dxa"/>
            <w:gridSpan w:val="5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Информирование, правовое просвещение и консультирование</w:t>
            </w:r>
          </w:p>
        </w:tc>
      </w:tr>
      <w:tr w:rsidR="00984514" w:rsidRPr="00AF71A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Простота доступа к подразделу официального интернет-сайта ФГО, посвященному вопросам противодействия коррупции, далее - подраздел сайта ФГО (количество переходов по гиперссылке, необходимое для доступа к подразделу с главной страницы)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двух переходов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более (равно) двух переходов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актуальных полнотекстовых версий всех нормативных правовых актов ФГО по вопросам противодействия коррупции в подразделе сайта ФГО (с учетом законодательства Российской Федерации о государственной тайне и о служебной информации ограниченного распространения)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8.3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методических материалов по антикоррупционной тематике, разработанных в ФГО, в подразделе сайта ФГО (с учетом законодательства Российской Федерации о государственной тайне и о служебной информации ограниченного распространения)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8.4.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подразделе сайта ФГО актуальной контактной информации и указания приемных часов работников подразделений и (или) иных должностных лиц для получения консультации по вопросам противодействия коррупции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8.5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возможности получить консультацию по вопросам противодействия коррупции в дистанционном режиме (консультации предоставляются по электронной почте или с использованием специальной электронной формы)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0,3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8.6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государственных служащих ФГО, принявших участие в мероприятиях (лекции, семинары, сборы, научно-практические конференции и т.д.) по вопросам противодействия коррупции, от общего числа государственных служащих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0,5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более или равно 90%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если менее 90%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8.7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ФГО организовано доведение до государственных служащих и граждан, поступающих на государственную службу (в том числе под роспись), положений законодательства Российской Федерации в области противодействия коррупции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8.8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лиц, поступивших на государственную службу или на работу в ФГО, с которыми была проведена беседа (консультация) об устранении причин возникновения и урегулирования возможных конфликтов интересов (в том числе под роспись), от общего числа лиц, поступивших на государственную службу или на работу в ФГО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более или равно 100%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100%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8.9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уволившихся государственных служащих, обязанных представлять сведения и осуществляющих функции государственного управления организациями, с которыми были проведены разъяснительные мероприятия по вопросам ограничений на последующее трудоустройство (в том числе под роспись), от общего числа вышеуказанных служащих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более или равно 100%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если менее 100%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8.10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ФГО стенда, отражающего актуальные вопросы профилактики коррупции (локальные нормативные акты, работа комиссии, сообщения в СМИ о фактах коррупционного поведения государственных служащих ФГО и др.)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AF71A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981" w:type="dxa"/>
            <w:gridSpan w:val="5"/>
          </w:tcPr>
          <w:p w:rsidR="00984514" w:rsidRPr="00337045" w:rsidRDefault="00984514" w:rsidP="00F55141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Получение информации о возможных нарушениях и последующее реагирование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на официальном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нтернет-сайте ФГО «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интернет-прием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ной»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получения информации о фактах коррупции или нарушения государственными служащими ФГО требований к служебному поведению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337045">
        <w:tc>
          <w:tcPr>
            <w:tcW w:w="817" w:type="dxa"/>
            <w:tcBorders>
              <w:top w:val="nil"/>
            </w:tcBorders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</w:t>
            </w:r>
          </w:p>
        </w:tc>
        <w:tc>
          <w:tcPr>
            <w:tcW w:w="5954" w:type="dxa"/>
            <w:tcBorders>
              <w:top w:val="nil"/>
            </w:tcBorders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на официальном интернет-сайте ФГО контактной информации для направления письменных обращений о фактах коррупции или нарушения государственными служащими ФГО требований к служебному поведению</w:t>
            </w:r>
          </w:p>
        </w:tc>
        <w:tc>
          <w:tcPr>
            <w:tcW w:w="1565" w:type="dxa"/>
            <w:gridSpan w:val="2"/>
            <w:tcBorders>
              <w:top w:val="nil"/>
            </w:tcBorders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62" w:type="dxa"/>
            <w:gridSpan w:val="2"/>
            <w:tcBorders>
              <w:top w:val="nil"/>
            </w:tcBorders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«горячей линии»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вопросам противодействия коррупции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981" w:type="dxa"/>
            <w:gridSpan w:val="5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подразделением проверок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проверок, при проведении которых были направлены необходимые запросы (включая письма, направленные в соответствующие подразделения федеральных государственных органов, уполномоченных на осуществление оперативно-разыскной деятельности</w:t>
            </w:r>
            <w:r w:rsidRPr="00446558">
              <w:rPr>
                <w:rStyle w:val="ac"/>
                <w:lang w:val="ru-RU"/>
              </w:rPr>
              <w:footnoteReference w:customMarkFollows="1" w:id="7"/>
              <w:t>*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в государственные органы и организации, от общего числа вышеуказанных проверок (если направление запросов (писем) не требовалось, то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0,5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более или равно 90%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90%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проверок, проведенных в установленный срок, от общего числа проведенных проверок (если проведение проверок не требовалось, то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0,5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более или равно 95%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если менее 95%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проверок, основанием для которых послужила информация, представленная подразделением по итогам анализа сведений, представленных государственными служащими, от общего числа вышеуказанных</w:t>
            </w:r>
          </w:p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проверок (если проведение проверок не требовалось, то ставится балл как за реализованное мероприятие)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более или равно 50%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50%</w:t>
            </w:r>
          </w:p>
        </w:tc>
      </w:tr>
      <w:tr w:rsidR="00984514" w:rsidRPr="00337045">
        <w:trPr>
          <w:trHeight w:val="3091"/>
        </w:trPr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проверок (в %), проведенных подразделением при поступлении информации о трудоустройстве бывшего государственного служащего, в целях выявления лиц, не получивших согласия соответствующей комиссии, от общего числа поступившей по данному вопросу информации (если информация не поступала, то ставится балл как за реализованное мероприятие)</w:t>
            </w:r>
          </w:p>
          <w:p w:rsidR="00984514" w:rsidRPr="00337045" w:rsidRDefault="00984514" w:rsidP="00C738E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1,5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более или равно 90%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0,5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90%</w:t>
            </w:r>
          </w:p>
        </w:tc>
      </w:tr>
      <w:tr w:rsidR="00984514" w:rsidRPr="00AC5F8E">
        <w:trPr>
          <w:trHeight w:val="760"/>
        </w:trPr>
        <w:tc>
          <w:tcPr>
            <w:tcW w:w="6771" w:type="dxa"/>
            <w:gridSpan w:val="2"/>
          </w:tcPr>
          <w:p w:rsidR="00984514" w:rsidRDefault="00984514" w:rsidP="00C738EC">
            <w:pPr>
              <w:tabs>
                <w:tab w:val="center" w:pos="2869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4514" w:rsidRDefault="00984514" w:rsidP="00AC5F8E">
            <w:pPr>
              <w:tabs>
                <w:tab w:val="center" w:pos="2869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Суммарный балл по разделу </w:t>
            </w:r>
            <w:r w:rsidRPr="0033704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984514" w:rsidRPr="00337045" w:rsidRDefault="00984514" w:rsidP="00AC5F8E">
            <w:pPr>
              <w:tabs>
                <w:tab w:val="center" w:pos="2869"/>
              </w:tabs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27" w:type="dxa"/>
            <w:gridSpan w:val="4"/>
          </w:tcPr>
          <w:p w:rsidR="00984514" w:rsidRPr="00337045" w:rsidRDefault="00984514" w:rsidP="00C738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4514" w:rsidRPr="00AF71A5">
        <w:tc>
          <w:tcPr>
            <w:tcW w:w="9798" w:type="dxa"/>
            <w:gridSpan w:val="6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II. Показатели результативности деятельности подразделений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сообщений в общероссийских СМИ о совершении государственными служащими ФГО коррупционных правонарушений, несоблюдении требований к служебному поведению, по которым в течение 5 рабочих дней с момента публикации информации подразделение инициировало проверку по данному случаю, от общего числа вышеуказанных сообщений в общероссийских СМИ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90%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более или равно 90%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обращений граждан, содержащих сведения о совершении государственными служащими ФГО коррупционных правонарушений, несоблюдении требований к служебному поведению, по которым в течение 5 рабочих дней с момента получения информации подразделение инициировало проверку по данному случаю, от общего числа вышеуказанных обращений граждан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90%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более или равно 90%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954" w:type="dxa"/>
          </w:tcPr>
          <w:p w:rsidR="00984514" w:rsidRPr="00337045" w:rsidRDefault="00984514" w:rsidP="006717F3">
            <w:pPr>
              <w:spacing w:after="120" w:line="3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случаев привлечения государственных служащих к уголовной ответственности за совершение преступлений коррупционной направленности, если по материалам подразделения, направленным в правоохранительные органы, в отношении государственного служащего было возбуждено уголовное дело, от общего числа вышеуказанных случаев привлечения к уголовной ответственности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более или равно 90%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90%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446558">
              <w:rPr>
                <w:rStyle w:val="ac"/>
              </w:rPr>
              <w:footnoteReference w:customMarkFollows="1" w:id="8"/>
              <w:sym w:font="Symbol" w:char="F02A"/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(в %) лиц, представивших сведения, в отношении которых органами прокуратуры Российской Федерации выявлены нарушения порядка представления, публикации и проверки сведений от общего числа проведенных проверок (если проверка органами прокуратуры Российской Федерации не осуществлялась, то ставится максимальный балл)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если более или равно 15%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15%</w:t>
            </w:r>
          </w:p>
        </w:tc>
      </w:tr>
      <w:tr w:rsidR="00984514" w:rsidRPr="00337045"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*</w:t>
            </w:r>
          </w:p>
        </w:tc>
        <w:tc>
          <w:tcPr>
            <w:tcW w:w="5954" w:type="dxa"/>
          </w:tcPr>
          <w:p w:rsidR="00984514" w:rsidRPr="00337045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(в %) лиц, представивших сведения, в отношении которых органами прокуратуры Российской Федерации выявлены случаи представления неполных (недостоверных) сведений, от общего числа проведенных проверок (если проверка не осуществлялась, 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то ставится максимальный балл)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 более или равно 15%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15%</w:t>
            </w:r>
          </w:p>
        </w:tc>
      </w:tr>
      <w:tr w:rsidR="00984514" w:rsidRPr="00337045">
        <w:trPr>
          <w:trHeight w:val="3262"/>
        </w:trPr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446558">
              <w:rPr>
                <w:rStyle w:val="ac"/>
              </w:rPr>
              <w:footnoteReference w:customMarkFollows="1" w:id="9"/>
              <w:sym w:font="Symbol" w:char="F02A"/>
            </w:r>
          </w:p>
        </w:tc>
        <w:tc>
          <w:tcPr>
            <w:tcW w:w="5954" w:type="dxa"/>
          </w:tcPr>
          <w:p w:rsidR="00984514" w:rsidRPr="00337045" w:rsidRDefault="00984514" w:rsidP="00335E7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Доля (в %) лиц, представивших сведения, в отношении которых органами прокуратуры Российской Федерации выявлены случаи несоблюдения государственными служащими иных запретов и ограничений, связанных с прохождением государственной службы, от общего числа проведенных проверок (если проверка не осуществлялась, 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то ставится максимальный балл</w:t>
            </w:r>
          </w:p>
        </w:tc>
        <w:tc>
          <w:tcPr>
            <w:tcW w:w="1565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более или равно 15%</w:t>
            </w:r>
          </w:p>
        </w:tc>
        <w:tc>
          <w:tcPr>
            <w:tcW w:w="1462" w:type="dxa"/>
            <w:gridSpan w:val="2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менее 15%</w:t>
            </w:r>
          </w:p>
        </w:tc>
      </w:tr>
      <w:tr w:rsidR="00984514" w:rsidRPr="00335E74">
        <w:trPr>
          <w:trHeight w:val="388"/>
        </w:trPr>
        <w:tc>
          <w:tcPr>
            <w:tcW w:w="6771" w:type="dxa"/>
            <w:gridSpan w:val="2"/>
          </w:tcPr>
          <w:p w:rsidR="00984514" w:rsidRPr="007A3D74" w:rsidRDefault="00984514" w:rsidP="00335E74">
            <w:pPr>
              <w:spacing w:after="120" w:line="240" w:lineRule="atLeas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84514" w:rsidRPr="00337045" w:rsidRDefault="00984514" w:rsidP="00335E74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Суммарный балл по разделу </w:t>
            </w:r>
            <w:r w:rsidRPr="0033704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984514" w:rsidRPr="007A3D74" w:rsidRDefault="00984514" w:rsidP="00C738EC">
            <w:pPr>
              <w:spacing w:after="120" w:line="240" w:lineRule="atLeas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27" w:type="dxa"/>
            <w:gridSpan w:val="4"/>
          </w:tcPr>
          <w:p w:rsidR="00984514" w:rsidRPr="00337045" w:rsidRDefault="00984514" w:rsidP="00C738E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4514" w:rsidRPr="00AF71A5">
        <w:tc>
          <w:tcPr>
            <w:tcW w:w="9798" w:type="dxa"/>
            <w:gridSpan w:val="6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III. Показатель, определенный по итогам онлайн-опроса граждан</w:t>
            </w:r>
          </w:p>
        </w:tc>
      </w:tr>
      <w:tr w:rsidR="00984514" w:rsidRPr="00337045">
        <w:trPr>
          <w:trHeight w:val="2831"/>
        </w:trPr>
        <w:tc>
          <w:tcPr>
            <w:tcW w:w="817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954" w:type="dxa"/>
          </w:tcPr>
          <w:p w:rsidR="00984514" w:rsidRPr="00BC5EDD" w:rsidRDefault="00984514" w:rsidP="00C738EC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Оценка работы по противодействию коррупции, проводимой подразделением в ФГО, которая дана гражданами по результатам онлайн-опроса, проводимого в режиме реального времени на официальном интернет-сайте ФГО - высокий уровень, средний уровень, низкий уровень (при равном количестве голосов начисляется 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более высокий балл)</w:t>
            </w:r>
          </w:p>
          <w:p w:rsidR="00984514" w:rsidRPr="00337045" w:rsidRDefault="00984514" w:rsidP="00C738EC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если выс.</w:t>
            </w:r>
          </w:p>
        </w:tc>
        <w:tc>
          <w:tcPr>
            <w:tcW w:w="972" w:type="dxa"/>
            <w:gridSpan w:val="2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если средн.</w:t>
            </w:r>
          </w:p>
        </w:tc>
        <w:tc>
          <w:tcPr>
            <w:tcW w:w="1063" w:type="dxa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если низкий</w:t>
            </w:r>
          </w:p>
        </w:tc>
      </w:tr>
      <w:tr w:rsidR="00984514" w:rsidRPr="00AC5F8E">
        <w:trPr>
          <w:trHeight w:val="534"/>
        </w:trPr>
        <w:tc>
          <w:tcPr>
            <w:tcW w:w="6771" w:type="dxa"/>
            <w:gridSpan w:val="2"/>
          </w:tcPr>
          <w:p w:rsidR="00984514" w:rsidRPr="007A3D74" w:rsidRDefault="00984514" w:rsidP="00AC5F8E">
            <w:pPr>
              <w:spacing w:after="0" w:line="30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84514" w:rsidRPr="00337045" w:rsidRDefault="00984514" w:rsidP="00AC5F8E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Суммарный балл по разделу </w:t>
            </w:r>
            <w:r w:rsidRPr="0033704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984514" w:rsidRPr="007A3D74" w:rsidRDefault="00984514" w:rsidP="00AC5F8E">
            <w:pPr>
              <w:spacing w:after="0" w:line="30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27" w:type="dxa"/>
            <w:gridSpan w:val="4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84514" w:rsidRPr="00AC5F8E">
        <w:trPr>
          <w:trHeight w:val="550"/>
        </w:trPr>
        <w:tc>
          <w:tcPr>
            <w:tcW w:w="6771" w:type="dxa"/>
            <w:gridSpan w:val="2"/>
          </w:tcPr>
          <w:p w:rsidR="00984514" w:rsidRPr="007A3D74" w:rsidRDefault="00984514" w:rsidP="00AC5F8E">
            <w:pPr>
              <w:spacing w:after="0" w:line="30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84514" w:rsidRDefault="00984514" w:rsidP="00AC5F8E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балл</w:t>
            </w:r>
          </w:p>
          <w:p w:rsidR="00984514" w:rsidRPr="007A3D74" w:rsidRDefault="00984514" w:rsidP="00AC5F8E">
            <w:pPr>
              <w:spacing w:after="0" w:line="30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27" w:type="dxa"/>
            <w:gridSpan w:val="4"/>
          </w:tcPr>
          <w:p w:rsidR="00984514" w:rsidRPr="00337045" w:rsidRDefault="00984514" w:rsidP="00C738EC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84514" w:rsidRPr="00337045" w:rsidRDefault="00984514" w:rsidP="005A6650">
      <w:pPr>
        <w:spacing w:after="0" w:line="360" w:lineRule="atLeast"/>
        <w:jc w:val="righ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  <w:r w:rsidRPr="00337045">
        <w:rPr>
          <w:rFonts w:ascii="Times New Roman" w:hAnsi="Times New Roman" w:cs="Times New Roman"/>
          <w:position w:val="6"/>
          <w:sz w:val="28"/>
          <w:szCs w:val="28"/>
          <w:lang w:val="ru-RU"/>
        </w:rPr>
        <w:t>Форма 2</w:t>
      </w:r>
    </w:p>
    <w:p w:rsidR="00984514" w:rsidRPr="00337045" w:rsidRDefault="00984514" w:rsidP="005A6650">
      <w:pPr>
        <w:spacing w:after="0" w:line="240" w:lineRule="atLeast"/>
        <w:ind w:firstLine="720"/>
        <w:jc w:val="righ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984514" w:rsidRPr="00337045" w:rsidRDefault="00984514" w:rsidP="005A6650">
      <w:pPr>
        <w:spacing w:after="0" w:line="240" w:lineRule="atLeast"/>
        <w:ind w:firstLine="720"/>
        <w:jc w:val="righ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tbl>
      <w:tblPr>
        <w:tblW w:w="10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1946"/>
        <w:gridCol w:w="1946"/>
        <w:gridCol w:w="1946"/>
        <w:gridCol w:w="1626"/>
      </w:tblGrid>
      <w:tr w:rsidR="00984514" w:rsidRPr="00337045">
        <w:trPr>
          <w:cantSplit/>
          <w:trHeight w:val="357"/>
        </w:trPr>
        <w:tc>
          <w:tcPr>
            <w:tcW w:w="2764" w:type="dxa"/>
            <w:vAlign w:val="center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Наименование территориального органа</w:t>
            </w:r>
          </w:p>
        </w:tc>
        <w:tc>
          <w:tcPr>
            <w:tcW w:w="1946" w:type="dxa"/>
            <w:vAlign w:val="center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 xml:space="preserve">Суммарный балл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по разделу I</w:t>
            </w:r>
          </w:p>
        </w:tc>
        <w:tc>
          <w:tcPr>
            <w:tcW w:w="1946" w:type="dxa"/>
            <w:vAlign w:val="center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 xml:space="preserve">Суммарный балл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по разделу II</w:t>
            </w:r>
          </w:p>
        </w:tc>
        <w:tc>
          <w:tcPr>
            <w:tcW w:w="1946" w:type="dxa"/>
            <w:vAlign w:val="center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 xml:space="preserve">Суммарный балл </w:t>
            </w:r>
          </w:p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по разделу III</w:t>
            </w:r>
          </w:p>
        </w:tc>
        <w:tc>
          <w:tcPr>
            <w:tcW w:w="1626" w:type="dxa"/>
            <w:vAlign w:val="center"/>
          </w:tcPr>
          <w:p w:rsidR="00984514" w:rsidRPr="00337045" w:rsidRDefault="00984514" w:rsidP="00C738EC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Итоговый балл</w:t>
            </w:r>
          </w:p>
        </w:tc>
      </w:tr>
      <w:tr w:rsidR="00984514" w:rsidRPr="00337045">
        <w:trPr>
          <w:cantSplit/>
          <w:trHeight w:val="305"/>
        </w:trPr>
        <w:tc>
          <w:tcPr>
            <w:tcW w:w="2764" w:type="dxa"/>
          </w:tcPr>
          <w:p w:rsidR="00984514" w:rsidRPr="00337045" w:rsidRDefault="00984514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984514" w:rsidRPr="00337045" w:rsidRDefault="00984514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984514" w:rsidRPr="00337045" w:rsidRDefault="00984514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984514" w:rsidRPr="00337045" w:rsidRDefault="00984514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626" w:type="dxa"/>
          </w:tcPr>
          <w:p w:rsidR="00984514" w:rsidRPr="00337045" w:rsidRDefault="00984514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</w:tr>
      <w:tr w:rsidR="00984514" w:rsidRPr="00337045">
        <w:trPr>
          <w:cantSplit/>
          <w:trHeight w:val="305"/>
        </w:trPr>
        <w:tc>
          <w:tcPr>
            <w:tcW w:w="2764" w:type="dxa"/>
          </w:tcPr>
          <w:p w:rsidR="00984514" w:rsidRPr="00337045" w:rsidRDefault="00984514" w:rsidP="00C738EC">
            <w:pPr>
              <w:spacing w:after="0" w:line="240" w:lineRule="atLeast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1.</w:t>
            </w:r>
          </w:p>
        </w:tc>
        <w:tc>
          <w:tcPr>
            <w:tcW w:w="1946" w:type="dxa"/>
          </w:tcPr>
          <w:p w:rsidR="00984514" w:rsidRPr="00337045" w:rsidRDefault="00984514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984514" w:rsidRPr="00337045" w:rsidRDefault="00984514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984514" w:rsidRPr="00337045" w:rsidRDefault="00984514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626" w:type="dxa"/>
          </w:tcPr>
          <w:p w:rsidR="00984514" w:rsidRPr="00337045" w:rsidRDefault="00984514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</w:tr>
      <w:tr w:rsidR="00984514" w:rsidRPr="00337045">
        <w:trPr>
          <w:cantSplit/>
          <w:trHeight w:val="163"/>
        </w:trPr>
        <w:tc>
          <w:tcPr>
            <w:tcW w:w="2764" w:type="dxa"/>
          </w:tcPr>
          <w:p w:rsidR="00984514" w:rsidRPr="00337045" w:rsidRDefault="00984514" w:rsidP="00C738EC">
            <w:pPr>
              <w:spacing w:after="0" w:line="240" w:lineRule="atLeast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2.</w:t>
            </w:r>
          </w:p>
        </w:tc>
        <w:tc>
          <w:tcPr>
            <w:tcW w:w="1946" w:type="dxa"/>
          </w:tcPr>
          <w:p w:rsidR="00984514" w:rsidRPr="00337045" w:rsidRDefault="00984514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984514" w:rsidRPr="00337045" w:rsidRDefault="00984514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984514" w:rsidRPr="00337045" w:rsidRDefault="00984514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626" w:type="dxa"/>
          </w:tcPr>
          <w:p w:rsidR="00984514" w:rsidRPr="00337045" w:rsidRDefault="00984514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</w:tr>
      <w:tr w:rsidR="00984514" w:rsidRPr="00C738EC">
        <w:trPr>
          <w:cantSplit/>
          <w:trHeight w:val="163"/>
        </w:trPr>
        <w:tc>
          <w:tcPr>
            <w:tcW w:w="2764" w:type="dxa"/>
          </w:tcPr>
          <w:p w:rsidR="00984514" w:rsidRPr="00C738EC" w:rsidRDefault="00984514" w:rsidP="00C738EC">
            <w:pPr>
              <w:spacing w:after="0" w:line="240" w:lineRule="atLeast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337045"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  <w:t>3.</w:t>
            </w:r>
          </w:p>
        </w:tc>
        <w:tc>
          <w:tcPr>
            <w:tcW w:w="1946" w:type="dxa"/>
          </w:tcPr>
          <w:p w:rsidR="00984514" w:rsidRPr="00C738EC" w:rsidRDefault="00984514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984514" w:rsidRPr="00C738EC" w:rsidRDefault="00984514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946" w:type="dxa"/>
          </w:tcPr>
          <w:p w:rsidR="00984514" w:rsidRPr="00C738EC" w:rsidRDefault="00984514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  <w:tc>
          <w:tcPr>
            <w:tcW w:w="1626" w:type="dxa"/>
          </w:tcPr>
          <w:p w:rsidR="00984514" w:rsidRPr="00C738EC" w:rsidRDefault="00984514" w:rsidP="00C738EC">
            <w:pPr>
              <w:spacing w:after="0" w:line="240" w:lineRule="atLeast"/>
              <w:ind w:firstLine="720"/>
              <w:jc w:val="both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</w:p>
        </w:tc>
      </w:tr>
    </w:tbl>
    <w:p w:rsidR="00984514" w:rsidRDefault="00984514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984514" w:rsidRDefault="00984514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984514" w:rsidRDefault="00984514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984514" w:rsidRDefault="00984514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984514" w:rsidRDefault="00984514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984514" w:rsidRDefault="00984514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984514" w:rsidRDefault="00984514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984514" w:rsidRDefault="00984514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984514" w:rsidRDefault="00984514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984514" w:rsidRDefault="00984514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984514" w:rsidRDefault="00984514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984514" w:rsidRDefault="00984514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984514" w:rsidRDefault="00984514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p w:rsidR="00984514" w:rsidRDefault="00984514" w:rsidP="005A6650">
      <w:pPr>
        <w:spacing w:after="0" w:line="360" w:lineRule="atLeast"/>
        <w:rPr>
          <w:rFonts w:ascii="Times New Roman" w:hAnsi="Times New Roman" w:cs="Times New Roman"/>
          <w:position w:val="6"/>
          <w:sz w:val="28"/>
          <w:szCs w:val="28"/>
          <w:lang w:val="ru-RU"/>
        </w:rPr>
      </w:pPr>
    </w:p>
    <w:sectPr w:rsidR="00984514" w:rsidSect="00025E6A">
      <w:headerReference w:type="default" r:id="rId7"/>
      <w:footerReference w:type="default" r:id="rId8"/>
      <w:headerReference w:type="first" r:id="rId9"/>
      <w:pgSz w:w="11907" w:h="16840" w:code="9"/>
      <w:pgMar w:top="1276" w:right="1134" w:bottom="1418" w:left="1134" w:header="709" w:footer="709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57" w:rsidRDefault="00876257">
      <w:r>
        <w:separator/>
      </w:r>
    </w:p>
  </w:endnote>
  <w:endnote w:type="continuationSeparator" w:id="0">
    <w:p w:rsidR="00876257" w:rsidRDefault="0087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14" w:rsidRPr="00C2055A" w:rsidRDefault="00984514" w:rsidP="00014936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 w:cs="Times New Roman"/>
        <w:snapToGrid w:val="0"/>
        <w:color w:val="000000"/>
        <w:sz w:val="16"/>
        <w:szCs w:val="16"/>
        <w:u w:color="00000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57" w:rsidRDefault="00876257">
      <w:r>
        <w:separator/>
      </w:r>
    </w:p>
  </w:footnote>
  <w:footnote w:type="continuationSeparator" w:id="0">
    <w:p w:rsidR="00876257" w:rsidRDefault="00876257">
      <w:r>
        <w:continuationSeparator/>
      </w:r>
    </w:p>
  </w:footnote>
  <w:footnote w:id="1">
    <w:p w:rsidR="00984514" w:rsidRDefault="00984514" w:rsidP="008F1E50">
      <w:pPr>
        <w:pStyle w:val="aa"/>
        <w:spacing w:after="0" w:line="240" w:lineRule="auto"/>
        <w:jc w:val="both"/>
      </w:pPr>
      <w:r w:rsidRPr="00484075">
        <w:rPr>
          <w:rStyle w:val="ac"/>
          <w:rFonts w:ascii="Times New Roman" w:hAnsi="Times New Roman" w:cs="Times New Roman"/>
        </w:rPr>
        <w:sym w:font="Symbol" w:char="F02A"/>
      </w:r>
      <w:r w:rsidRPr="00484075">
        <w:rPr>
          <w:rFonts w:ascii="Times New Roman" w:hAnsi="Times New Roman" w:cs="Times New Roman"/>
          <w:lang w:val="ru-RU"/>
        </w:rPr>
        <w:t> Реализация вышеуказанных функций в федеральных государственных органах, названных в разделе </w:t>
      </w:r>
      <w:r w:rsidRPr="00484075">
        <w:rPr>
          <w:rFonts w:ascii="Times New Roman" w:hAnsi="Times New Roman" w:cs="Times New Roman"/>
        </w:rPr>
        <w:t>II</w:t>
      </w:r>
      <w:r w:rsidRPr="00484075">
        <w:rPr>
          <w:rFonts w:ascii="Times New Roman" w:hAnsi="Times New Roman" w:cs="Times New Roman"/>
          <w:lang w:val="ru-RU"/>
        </w:rPr>
        <w:t xml:space="preserve"> перечня должностей, утвержденного Указом Президента Российской Федерации от 18 мая 2009 г. № 557, пунктом 4 Указа Президента Российской Федерации № 1065 возложена на подразделения по профилактике коррупционных и иных правонарушений (в том числе соответствующие подразделения федеральных</w:t>
      </w:r>
      <w:r w:rsidRPr="003A0406">
        <w:rPr>
          <w:rFonts w:ascii="Times New Roman" w:hAnsi="Times New Roman" w:cs="Times New Roman"/>
          <w:lang w:val="ru-RU"/>
        </w:rPr>
        <w:t xml:space="preserve"> государственных органов, уполномоченных на осуществление оперативно-разыскной деятельности</w:t>
      </w:r>
      <w:r w:rsidRPr="004E505B">
        <w:rPr>
          <w:rFonts w:ascii="Times New Roman" w:hAnsi="Times New Roman" w:cs="Times New Roman"/>
          <w:lang w:val="ru-RU"/>
        </w:rPr>
        <w:t>).</w:t>
      </w:r>
    </w:p>
  </w:footnote>
  <w:footnote w:id="2">
    <w:p w:rsidR="00984514" w:rsidRDefault="00984514" w:rsidP="00AD2F91">
      <w:pPr>
        <w:pStyle w:val="aa"/>
        <w:spacing w:after="0" w:line="240" w:lineRule="auto"/>
        <w:jc w:val="both"/>
      </w:pPr>
      <w:r w:rsidRPr="00446558">
        <w:rPr>
          <w:rStyle w:val="ac"/>
          <w:lang w:val="ru-RU"/>
        </w:rPr>
        <w:t>**</w:t>
      </w:r>
      <w:r>
        <w:rPr>
          <w:rFonts w:ascii="Times New Roman" w:hAnsi="Times New Roman" w:cs="Times New Roman"/>
          <w:lang w:val="ru-RU"/>
        </w:rPr>
        <w:t>Д</w:t>
      </w:r>
      <w:r w:rsidRPr="00B65703">
        <w:rPr>
          <w:rFonts w:ascii="Times New Roman" w:hAnsi="Times New Roman" w:cs="Times New Roman"/>
          <w:lang w:val="ru-RU"/>
        </w:rPr>
        <w:t xml:space="preserve">анная </w:t>
      </w:r>
      <w:r>
        <w:rPr>
          <w:rFonts w:ascii="Times New Roman" w:hAnsi="Times New Roman" w:cs="Times New Roman"/>
          <w:lang w:val="ru-RU"/>
        </w:rPr>
        <w:t xml:space="preserve">оценка </w:t>
      </w:r>
      <w:r w:rsidRPr="00B65703">
        <w:rPr>
          <w:rFonts w:ascii="Times New Roman" w:hAnsi="Times New Roman" w:cs="Times New Roman"/>
          <w:lang w:val="ru-RU"/>
        </w:rPr>
        <w:t>применяется в отношении подразделений федеральных органов исполнительной власти, руководство деятельностью котор</w:t>
      </w:r>
      <w:r>
        <w:rPr>
          <w:rFonts w:ascii="Times New Roman" w:hAnsi="Times New Roman" w:cs="Times New Roman"/>
          <w:lang w:val="ru-RU"/>
        </w:rPr>
        <w:t>ых осуществляет Правительство Российской Федерации</w:t>
      </w:r>
    </w:p>
  </w:footnote>
  <w:footnote w:id="3">
    <w:p w:rsidR="00984514" w:rsidRDefault="00984514" w:rsidP="00F67063">
      <w:pPr>
        <w:pStyle w:val="aa"/>
        <w:spacing w:after="0" w:line="240" w:lineRule="auto"/>
      </w:pPr>
      <w:r w:rsidRPr="00F67063">
        <w:rPr>
          <w:rStyle w:val="ac"/>
          <w:rFonts w:ascii="Times New Roman" w:hAnsi="Times New Roman" w:cs="Times New Roman"/>
          <w:lang w:val="ru-RU"/>
        </w:rPr>
        <w:t>*</w:t>
      </w:r>
      <w:r w:rsidRPr="00F6706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Отмечается один из предложенных вариантов ответов</w:t>
      </w:r>
      <w:r w:rsidRPr="00F67063">
        <w:rPr>
          <w:rFonts w:ascii="Times New Roman" w:hAnsi="Times New Roman" w:cs="Times New Roman"/>
          <w:lang w:val="ru-RU"/>
        </w:rPr>
        <w:t>.</w:t>
      </w:r>
    </w:p>
  </w:footnote>
  <w:footnote w:id="4">
    <w:p w:rsidR="00984514" w:rsidRDefault="00984514" w:rsidP="00F67063">
      <w:pPr>
        <w:pStyle w:val="aa"/>
        <w:spacing w:after="0" w:line="240" w:lineRule="auto"/>
        <w:jc w:val="both"/>
      </w:pPr>
      <w:r w:rsidRPr="00F67063">
        <w:rPr>
          <w:rStyle w:val="ac"/>
          <w:rFonts w:ascii="Times New Roman" w:hAnsi="Times New Roman" w:cs="Times New Roman"/>
          <w:lang w:val="ru-RU"/>
        </w:rPr>
        <w:t>**</w:t>
      </w:r>
      <w:r w:rsidRPr="00F67063">
        <w:rPr>
          <w:rFonts w:ascii="Times New Roman" w:hAnsi="Times New Roman" w:cs="Times New Roman"/>
          <w:lang w:val="ru-RU"/>
        </w:rPr>
        <w:t>Данная оценка применяется в отношении подразделений федеральных органов исполнительной власти, руководство деятельностью которых осуществляет Правительство Российской Федерации</w:t>
      </w:r>
      <w:r>
        <w:rPr>
          <w:rFonts w:ascii="Times New Roman" w:hAnsi="Times New Roman" w:cs="Times New Roman"/>
          <w:lang w:val="ru-RU"/>
        </w:rPr>
        <w:t>.</w:t>
      </w:r>
    </w:p>
  </w:footnote>
  <w:footnote w:id="5">
    <w:p w:rsidR="00984514" w:rsidRDefault="00984514" w:rsidP="00F75EB2">
      <w:pPr>
        <w:pStyle w:val="aa"/>
        <w:spacing w:line="240" w:lineRule="atLeast"/>
        <w:jc w:val="both"/>
      </w:pPr>
      <w:r w:rsidRPr="00446558">
        <w:rPr>
          <w:rStyle w:val="ac"/>
          <w:lang w:val="ru-RU"/>
        </w:rPr>
        <w:t>*</w:t>
      </w:r>
      <w:r>
        <w:rPr>
          <w:lang w:val="ru-RU"/>
        </w:rPr>
        <w:t> </w:t>
      </w:r>
      <w:r w:rsidRPr="003A0406">
        <w:rPr>
          <w:rFonts w:ascii="Times New Roman" w:hAnsi="Times New Roman" w:cs="Times New Roman"/>
          <w:lang w:val="ru-RU"/>
        </w:rPr>
        <w:t>В случае если в перечень включены все должности в ФГО и</w:t>
      </w:r>
      <w:r>
        <w:rPr>
          <w:rFonts w:ascii="Times New Roman" w:hAnsi="Times New Roman" w:cs="Times New Roman"/>
          <w:lang w:val="ru-RU"/>
        </w:rPr>
        <w:t> </w:t>
      </w:r>
      <w:r w:rsidRPr="003A0406">
        <w:rPr>
          <w:rFonts w:ascii="Times New Roman" w:hAnsi="Times New Roman" w:cs="Times New Roman"/>
          <w:lang w:val="ru-RU"/>
        </w:rPr>
        <w:t>(или) обновление перечня не требуется, ставится балл как за реализованное мероприятие.</w:t>
      </w:r>
    </w:p>
  </w:footnote>
  <w:footnote w:id="6">
    <w:p w:rsidR="00984514" w:rsidRDefault="00984514">
      <w:pPr>
        <w:pStyle w:val="aa"/>
      </w:pPr>
      <w:r w:rsidRPr="00446558">
        <w:rPr>
          <w:rStyle w:val="ac"/>
        </w:rPr>
        <w:sym w:font="Symbol" w:char="F02A"/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93280F">
        <w:rPr>
          <w:rFonts w:ascii="Times New Roman" w:hAnsi="Times New Roman" w:cs="Times New Roman"/>
          <w:lang w:val="ru-RU"/>
        </w:rPr>
        <w:t>В части федеральных государственных гражданских служащих.</w:t>
      </w:r>
    </w:p>
  </w:footnote>
  <w:footnote w:id="7">
    <w:p w:rsidR="00984514" w:rsidRDefault="00984514">
      <w:pPr>
        <w:pStyle w:val="aa"/>
      </w:pPr>
      <w:r w:rsidRPr="00446558">
        <w:rPr>
          <w:rStyle w:val="ac"/>
          <w:lang w:val="ru-RU"/>
        </w:rPr>
        <w:t>*</w:t>
      </w:r>
      <w:r w:rsidRPr="003A0406">
        <w:rPr>
          <w:lang w:val="ru-RU"/>
        </w:rPr>
        <w:t xml:space="preserve"> </w:t>
      </w:r>
      <w:r w:rsidRPr="003A0406">
        <w:rPr>
          <w:rFonts w:ascii="Times New Roman" w:hAnsi="Times New Roman" w:cs="Times New Roman"/>
          <w:lang w:val="ru-RU"/>
        </w:rPr>
        <w:t>Для ФГО, в которых предусмотрена правоохранительная служба.</w:t>
      </w:r>
    </w:p>
  </w:footnote>
  <w:footnote w:id="8">
    <w:p w:rsidR="00984514" w:rsidRDefault="00984514" w:rsidP="00ED43FE">
      <w:pPr>
        <w:pStyle w:val="aa"/>
        <w:spacing w:line="240" w:lineRule="atLeast"/>
        <w:jc w:val="both"/>
      </w:pPr>
      <w:r w:rsidRPr="00446558">
        <w:rPr>
          <w:rStyle w:val="ac"/>
        </w:rPr>
        <w:sym w:font="Symbol" w:char="F02A"/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64129">
        <w:rPr>
          <w:rFonts w:ascii="Times New Roman" w:hAnsi="Times New Roman" w:cs="Times New Roman"/>
          <w:lang w:val="ru-RU"/>
        </w:rPr>
        <w:t>Показател</w:t>
      </w:r>
      <w:r>
        <w:rPr>
          <w:rFonts w:ascii="Times New Roman" w:hAnsi="Times New Roman" w:cs="Times New Roman"/>
          <w:lang w:val="ru-RU"/>
        </w:rPr>
        <w:t>ь не применяе</w:t>
      </w:r>
      <w:r w:rsidRPr="00164129">
        <w:rPr>
          <w:rFonts w:ascii="Times New Roman" w:hAnsi="Times New Roman" w:cs="Times New Roman"/>
          <w:lang w:val="ru-RU"/>
        </w:rPr>
        <w:t xml:space="preserve">тся к органам </w:t>
      </w:r>
      <w:r>
        <w:rPr>
          <w:rFonts w:ascii="Times New Roman" w:hAnsi="Times New Roman" w:cs="Times New Roman"/>
          <w:lang w:val="ru-RU"/>
        </w:rPr>
        <w:t xml:space="preserve">прокуратуры </w:t>
      </w:r>
      <w:r w:rsidRPr="00164129">
        <w:rPr>
          <w:rFonts w:ascii="Times New Roman" w:hAnsi="Times New Roman" w:cs="Times New Roman"/>
          <w:lang w:val="ru-RU"/>
        </w:rPr>
        <w:t>Российской Федерации</w:t>
      </w:r>
      <w:r>
        <w:rPr>
          <w:rFonts w:ascii="Times New Roman" w:hAnsi="Times New Roman" w:cs="Times New Roman"/>
          <w:lang w:val="ru-RU"/>
        </w:rPr>
        <w:t xml:space="preserve"> (при проведении оценки по </w:t>
      </w:r>
      <w:r w:rsidRPr="00164129">
        <w:rPr>
          <w:rFonts w:ascii="Times New Roman" w:hAnsi="Times New Roman" w:cs="Times New Roman"/>
          <w:lang w:val="ru-RU"/>
        </w:rPr>
        <w:t>данным показателям ставится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4129">
        <w:rPr>
          <w:rFonts w:ascii="Times New Roman" w:hAnsi="Times New Roman" w:cs="Times New Roman"/>
          <w:lang w:val="ru-RU"/>
        </w:rPr>
        <w:t>максимальный балл</w:t>
      </w:r>
      <w:r>
        <w:rPr>
          <w:rFonts w:ascii="Times New Roman" w:hAnsi="Times New Roman" w:cs="Times New Roman"/>
          <w:lang w:val="ru-RU"/>
        </w:rPr>
        <w:t>)</w:t>
      </w:r>
      <w:r w:rsidRPr="00164129">
        <w:rPr>
          <w:rFonts w:ascii="Times New Roman" w:hAnsi="Times New Roman" w:cs="Times New Roman"/>
          <w:lang w:val="ru-RU"/>
        </w:rPr>
        <w:t>.</w:t>
      </w:r>
    </w:p>
  </w:footnote>
  <w:footnote w:id="9">
    <w:p w:rsidR="00984514" w:rsidRDefault="00984514" w:rsidP="004812C7">
      <w:pPr>
        <w:pStyle w:val="aa"/>
        <w:spacing w:line="240" w:lineRule="atLeast"/>
        <w:jc w:val="both"/>
      </w:pPr>
      <w:r w:rsidRPr="00446558">
        <w:rPr>
          <w:rStyle w:val="ac"/>
        </w:rPr>
        <w:sym w:font="Symbol" w:char="F02A"/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64129">
        <w:rPr>
          <w:rFonts w:ascii="Times New Roman" w:hAnsi="Times New Roman" w:cs="Times New Roman"/>
          <w:lang w:val="ru-RU"/>
        </w:rPr>
        <w:t>Показател</w:t>
      </w:r>
      <w:r>
        <w:rPr>
          <w:rFonts w:ascii="Times New Roman" w:hAnsi="Times New Roman" w:cs="Times New Roman"/>
          <w:lang w:val="ru-RU"/>
        </w:rPr>
        <w:t>ь не применяе</w:t>
      </w:r>
      <w:r w:rsidRPr="00164129">
        <w:rPr>
          <w:rFonts w:ascii="Times New Roman" w:hAnsi="Times New Roman" w:cs="Times New Roman"/>
          <w:lang w:val="ru-RU"/>
        </w:rPr>
        <w:t xml:space="preserve">тся к органам </w:t>
      </w:r>
      <w:r>
        <w:rPr>
          <w:rFonts w:ascii="Times New Roman" w:hAnsi="Times New Roman" w:cs="Times New Roman"/>
          <w:lang w:val="ru-RU"/>
        </w:rPr>
        <w:t xml:space="preserve">прокуратуры </w:t>
      </w:r>
      <w:r w:rsidRPr="00164129">
        <w:rPr>
          <w:rFonts w:ascii="Times New Roman" w:hAnsi="Times New Roman" w:cs="Times New Roman"/>
          <w:lang w:val="ru-RU"/>
        </w:rPr>
        <w:t>Российской Федерации</w:t>
      </w:r>
      <w:r>
        <w:rPr>
          <w:rFonts w:ascii="Times New Roman" w:hAnsi="Times New Roman" w:cs="Times New Roman"/>
          <w:lang w:val="ru-RU"/>
        </w:rPr>
        <w:t xml:space="preserve"> (при проведении оценки по </w:t>
      </w:r>
      <w:r w:rsidRPr="00164129">
        <w:rPr>
          <w:rFonts w:ascii="Times New Roman" w:hAnsi="Times New Roman" w:cs="Times New Roman"/>
          <w:lang w:val="ru-RU"/>
        </w:rPr>
        <w:t>данным показателям ставится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4129">
        <w:rPr>
          <w:rFonts w:ascii="Times New Roman" w:hAnsi="Times New Roman" w:cs="Times New Roman"/>
          <w:lang w:val="ru-RU"/>
        </w:rPr>
        <w:t>максимальный балл</w:t>
      </w:r>
      <w:r>
        <w:rPr>
          <w:rFonts w:ascii="Times New Roman" w:hAnsi="Times New Roman" w:cs="Times New Roman"/>
          <w:lang w:val="ru-RU"/>
        </w:rPr>
        <w:t>)</w:t>
      </w:r>
      <w:r w:rsidRPr="00164129">
        <w:rPr>
          <w:rFonts w:ascii="Times New Roman" w:hAnsi="Times New Roman" w:cs="Times New Roman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14" w:rsidRPr="004F7A79" w:rsidRDefault="00984514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  <w:snapToGrid w:val="0"/>
        <w:color w:val="000000"/>
        <w:sz w:val="28"/>
        <w:szCs w:val="28"/>
        <w:u w:color="000000"/>
      </w:rPr>
    </w:pPr>
    <w:r w:rsidRPr="004F7A79">
      <w:rPr>
        <w:rStyle w:val="a7"/>
        <w:rFonts w:ascii="Times New Roman" w:hAnsi="Times New Roman" w:cs="Times New Roman"/>
        <w:snapToGrid w:val="0"/>
        <w:color w:val="000000"/>
        <w:sz w:val="28"/>
        <w:szCs w:val="28"/>
        <w:u w:color="000000"/>
      </w:rPr>
      <w:fldChar w:fldCharType="begin"/>
    </w:r>
    <w:r w:rsidRPr="004F7A79">
      <w:rPr>
        <w:rStyle w:val="a7"/>
        <w:rFonts w:ascii="Times New Roman" w:hAnsi="Times New Roman" w:cs="Times New Roman"/>
        <w:snapToGrid w:val="0"/>
        <w:color w:val="000000"/>
        <w:sz w:val="28"/>
        <w:szCs w:val="28"/>
        <w:u w:color="000000"/>
      </w:rPr>
      <w:instrText xml:space="preserve"> PAGE </w:instrText>
    </w:r>
    <w:r w:rsidRPr="004F7A79">
      <w:rPr>
        <w:rStyle w:val="a7"/>
        <w:rFonts w:ascii="Times New Roman" w:hAnsi="Times New Roman" w:cs="Times New Roman"/>
        <w:snapToGrid w:val="0"/>
        <w:color w:val="000000"/>
        <w:sz w:val="28"/>
        <w:szCs w:val="28"/>
        <w:u w:color="000000"/>
      </w:rPr>
      <w:fldChar w:fldCharType="separate"/>
    </w:r>
    <w:r w:rsidR="00CB7589">
      <w:rPr>
        <w:rStyle w:val="a7"/>
        <w:rFonts w:ascii="Times New Roman" w:hAnsi="Times New Roman" w:cs="Times New Roman"/>
        <w:noProof/>
        <w:snapToGrid w:val="0"/>
        <w:color w:val="000000"/>
        <w:sz w:val="28"/>
        <w:szCs w:val="28"/>
        <w:u w:color="000000"/>
      </w:rPr>
      <w:t>2</w:t>
    </w:r>
    <w:r w:rsidRPr="004F7A79">
      <w:rPr>
        <w:rStyle w:val="a7"/>
        <w:rFonts w:ascii="Times New Roman" w:hAnsi="Times New Roman" w:cs="Times New Roman"/>
        <w:snapToGrid w:val="0"/>
        <w:color w:val="000000"/>
        <w:sz w:val="28"/>
        <w:szCs w:val="28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14" w:rsidRPr="00014936" w:rsidRDefault="00984514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  <w:snapToGrid w:val="0"/>
        <w:color w:val="000000"/>
        <w:sz w:val="28"/>
        <w:szCs w:val="28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09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04"/>
    <w:rsid w:val="00000A8D"/>
    <w:rsid w:val="00006202"/>
    <w:rsid w:val="00014936"/>
    <w:rsid w:val="00025E6A"/>
    <w:rsid w:val="00046461"/>
    <w:rsid w:val="00057CCC"/>
    <w:rsid w:val="0009151A"/>
    <w:rsid w:val="00097F94"/>
    <w:rsid w:val="000A1AA6"/>
    <w:rsid w:val="000B37E4"/>
    <w:rsid w:val="000C0008"/>
    <w:rsid w:val="000D4B04"/>
    <w:rsid w:val="001276EF"/>
    <w:rsid w:val="001511C6"/>
    <w:rsid w:val="001553C5"/>
    <w:rsid w:val="00164129"/>
    <w:rsid w:val="001A18A8"/>
    <w:rsid w:val="001A681C"/>
    <w:rsid w:val="001A6AB8"/>
    <w:rsid w:val="001B0049"/>
    <w:rsid w:val="001C54B2"/>
    <w:rsid w:val="001D15BB"/>
    <w:rsid w:val="001E238B"/>
    <w:rsid w:val="001E2856"/>
    <w:rsid w:val="002064D9"/>
    <w:rsid w:val="002178DF"/>
    <w:rsid w:val="00223CF0"/>
    <w:rsid w:val="00261FC3"/>
    <w:rsid w:val="002A2518"/>
    <w:rsid w:val="002C2CA5"/>
    <w:rsid w:val="002C5C5D"/>
    <w:rsid w:val="002D065B"/>
    <w:rsid w:val="002D4438"/>
    <w:rsid w:val="00306787"/>
    <w:rsid w:val="003075DA"/>
    <w:rsid w:val="00335E74"/>
    <w:rsid w:val="00337045"/>
    <w:rsid w:val="00344D73"/>
    <w:rsid w:val="003506F3"/>
    <w:rsid w:val="00385B37"/>
    <w:rsid w:val="003A0406"/>
    <w:rsid w:val="003C1A27"/>
    <w:rsid w:val="003D0528"/>
    <w:rsid w:val="003D78C1"/>
    <w:rsid w:val="003D7A2F"/>
    <w:rsid w:val="003E3A62"/>
    <w:rsid w:val="003E4AF0"/>
    <w:rsid w:val="00402C99"/>
    <w:rsid w:val="004238F6"/>
    <w:rsid w:val="00432E75"/>
    <w:rsid w:val="00446558"/>
    <w:rsid w:val="00451574"/>
    <w:rsid w:val="00461569"/>
    <w:rsid w:val="004812C7"/>
    <w:rsid w:val="00484075"/>
    <w:rsid w:val="0048783A"/>
    <w:rsid w:val="00487DE1"/>
    <w:rsid w:val="0049017A"/>
    <w:rsid w:val="004902C5"/>
    <w:rsid w:val="004A2CDA"/>
    <w:rsid w:val="004E4077"/>
    <w:rsid w:val="004E505B"/>
    <w:rsid w:val="004F7A79"/>
    <w:rsid w:val="00500D50"/>
    <w:rsid w:val="005179FF"/>
    <w:rsid w:val="00522669"/>
    <w:rsid w:val="00530455"/>
    <w:rsid w:val="0054780E"/>
    <w:rsid w:val="00550441"/>
    <w:rsid w:val="00585B26"/>
    <w:rsid w:val="005860E4"/>
    <w:rsid w:val="005901F2"/>
    <w:rsid w:val="005A6650"/>
    <w:rsid w:val="005C185B"/>
    <w:rsid w:val="00616B45"/>
    <w:rsid w:val="00623AEC"/>
    <w:rsid w:val="00625019"/>
    <w:rsid w:val="00633151"/>
    <w:rsid w:val="00644D6B"/>
    <w:rsid w:val="00645A86"/>
    <w:rsid w:val="006606D7"/>
    <w:rsid w:val="006717F3"/>
    <w:rsid w:val="006858A4"/>
    <w:rsid w:val="006B55BE"/>
    <w:rsid w:val="006E2753"/>
    <w:rsid w:val="006E6347"/>
    <w:rsid w:val="00730CA5"/>
    <w:rsid w:val="00734F56"/>
    <w:rsid w:val="007379B3"/>
    <w:rsid w:val="00743F76"/>
    <w:rsid w:val="00757BA6"/>
    <w:rsid w:val="007638A8"/>
    <w:rsid w:val="0077638B"/>
    <w:rsid w:val="00786279"/>
    <w:rsid w:val="00793237"/>
    <w:rsid w:val="007A3D74"/>
    <w:rsid w:val="007C6A43"/>
    <w:rsid w:val="007D17B1"/>
    <w:rsid w:val="007D1BE0"/>
    <w:rsid w:val="007D4406"/>
    <w:rsid w:val="007F4BC3"/>
    <w:rsid w:val="008016E2"/>
    <w:rsid w:val="0080383D"/>
    <w:rsid w:val="00805834"/>
    <w:rsid w:val="008324CB"/>
    <w:rsid w:val="0084183A"/>
    <w:rsid w:val="008540A2"/>
    <w:rsid w:val="00856004"/>
    <w:rsid w:val="008724A8"/>
    <w:rsid w:val="00876257"/>
    <w:rsid w:val="008B0ED4"/>
    <w:rsid w:val="008E3B31"/>
    <w:rsid w:val="008F0779"/>
    <w:rsid w:val="008F1E50"/>
    <w:rsid w:val="00910F91"/>
    <w:rsid w:val="0091625A"/>
    <w:rsid w:val="0093280F"/>
    <w:rsid w:val="00947D00"/>
    <w:rsid w:val="00955560"/>
    <w:rsid w:val="00967187"/>
    <w:rsid w:val="0096773B"/>
    <w:rsid w:val="00970C89"/>
    <w:rsid w:val="00984514"/>
    <w:rsid w:val="009D459F"/>
    <w:rsid w:val="009D7711"/>
    <w:rsid w:val="009E7CFF"/>
    <w:rsid w:val="00A22C35"/>
    <w:rsid w:val="00A30F19"/>
    <w:rsid w:val="00A43423"/>
    <w:rsid w:val="00A5798D"/>
    <w:rsid w:val="00A91D2B"/>
    <w:rsid w:val="00A97DCB"/>
    <w:rsid w:val="00AC5F8E"/>
    <w:rsid w:val="00AD2F91"/>
    <w:rsid w:val="00AF0D5A"/>
    <w:rsid w:val="00AF1C43"/>
    <w:rsid w:val="00AF4AFD"/>
    <w:rsid w:val="00AF71A5"/>
    <w:rsid w:val="00AF779D"/>
    <w:rsid w:val="00B032B8"/>
    <w:rsid w:val="00B13200"/>
    <w:rsid w:val="00B577E5"/>
    <w:rsid w:val="00B60542"/>
    <w:rsid w:val="00B65703"/>
    <w:rsid w:val="00B85160"/>
    <w:rsid w:val="00BA098A"/>
    <w:rsid w:val="00BA3086"/>
    <w:rsid w:val="00BA5CDE"/>
    <w:rsid w:val="00BC5EDD"/>
    <w:rsid w:val="00BD14C5"/>
    <w:rsid w:val="00BD3975"/>
    <w:rsid w:val="00BF733B"/>
    <w:rsid w:val="00C2055A"/>
    <w:rsid w:val="00C3328A"/>
    <w:rsid w:val="00C42175"/>
    <w:rsid w:val="00C5309A"/>
    <w:rsid w:val="00C738EC"/>
    <w:rsid w:val="00C85353"/>
    <w:rsid w:val="00C942FC"/>
    <w:rsid w:val="00CB6CAB"/>
    <w:rsid w:val="00CB7589"/>
    <w:rsid w:val="00CC58DE"/>
    <w:rsid w:val="00CF4CE4"/>
    <w:rsid w:val="00D148AD"/>
    <w:rsid w:val="00D25DF1"/>
    <w:rsid w:val="00D52265"/>
    <w:rsid w:val="00D60DCE"/>
    <w:rsid w:val="00D67947"/>
    <w:rsid w:val="00D8262F"/>
    <w:rsid w:val="00D871F9"/>
    <w:rsid w:val="00D87691"/>
    <w:rsid w:val="00D97C5B"/>
    <w:rsid w:val="00DB094A"/>
    <w:rsid w:val="00E04EFC"/>
    <w:rsid w:val="00E139F7"/>
    <w:rsid w:val="00E22760"/>
    <w:rsid w:val="00E532F2"/>
    <w:rsid w:val="00E65DAF"/>
    <w:rsid w:val="00E73A3F"/>
    <w:rsid w:val="00E852BD"/>
    <w:rsid w:val="00E86B22"/>
    <w:rsid w:val="00EA677E"/>
    <w:rsid w:val="00EB1F6F"/>
    <w:rsid w:val="00EB1FD2"/>
    <w:rsid w:val="00EB3CA2"/>
    <w:rsid w:val="00EB6D41"/>
    <w:rsid w:val="00ED43FE"/>
    <w:rsid w:val="00EE270A"/>
    <w:rsid w:val="00EF0C9D"/>
    <w:rsid w:val="00F02BBA"/>
    <w:rsid w:val="00F32BA0"/>
    <w:rsid w:val="00F41704"/>
    <w:rsid w:val="00F5485C"/>
    <w:rsid w:val="00F55141"/>
    <w:rsid w:val="00F57C17"/>
    <w:rsid w:val="00F60F65"/>
    <w:rsid w:val="00F66E41"/>
    <w:rsid w:val="00F67063"/>
    <w:rsid w:val="00F75EB2"/>
    <w:rsid w:val="00F81318"/>
    <w:rsid w:val="00FA4145"/>
    <w:rsid w:val="00FE3F04"/>
    <w:rsid w:val="00FF33D2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04"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6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0EE7"/>
    <w:rPr>
      <w:rFonts w:ascii="Calibri" w:hAnsi="Calibri" w:cs="Calibri"/>
      <w:lang w:val="en-US" w:eastAsia="en-US"/>
    </w:rPr>
  </w:style>
  <w:style w:type="paragraph" w:styleId="a5">
    <w:name w:val="footer"/>
    <w:basedOn w:val="a"/>
    <w:link w:val="a6"/>
    <w:uiPriority w:val="99"/>
    <w:rsid w:val="006606D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0EE7"/>
    <w:rPr>
      <w:rFonts w:ascii="Calibri" w:hAnsi="Calibri" w:cs="Calibri"/>
      <w:lang w:val="en-US" w:eastAsia="en-US"/>
    </w:rPr>
  </w:style>
  <w:style w:type="character" w:styleId="a7">
    <w:name w:val="page number"/>
    <w:basedOn w:val="a0"/>
    <w:uiPriority w:val="99"/>
    <w:rsid w:val="006606D7"/>
  </w:style>
  <w:style w:type="paragraph" w:styleId="a8">
    <w:name w:val="List Paragraph"/>
    <w:basedOn w:val="a"/>
    <w:uiPriority w:val="99"/>
    <w:qFormat/>
    <w:rsid w:val="00F41704"/>
    <w:pPr>
      <w:ind w:left="720"/>
    </w:pPr>
  </w:style>
  <w:style w:type="table" w:styleId="a9">
    <w:name w:val="Table Grid"/>
    <w:basedOn w:val="a1"/>
    <w:uiPriority w:val="99"/>
    <w:rsid w:val="00F41704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F4170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0EE7"/>
    <w:rPr>
      <w:rFonts w:ascii="Calibri" w:hAnsi="Calibri" w:cs="Calibri"/>
      <w:sz w:val="20"/>
      <w:szCs w:val="20"/>
      <w:lang w:val="en-US" w:eastAsia="en-US"/>
    </w:rPr>
  </w:style>
  <w:style w:type="character" w:styleId="ac">
    <w:name w:val="footnote reference"/>
    <w:basedOn w:val="a0"/>
    <w:uiPriority w:val="99"/>
    <w:semiHidden/>
    <w:rsid w:val="00F41704"/>
    <w:rPr>
      <w:vertAlign w:val="superscript"/>
    </w:rPr>
  </w:style>
  <w:style w:type="paragraph" w:styleId="ad">
    <w:name w:val="Balloon Text"/>
    <w:basedOn w:val="a"/>
    <w:link w:val="ae"/>
    <w:uiPriority w:val="99"/>
    <w:semiHidden/>
    <w:rsid w:val="00EB1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0EE7"/>
    <w:rPr>
      <w:rFonts w:ascii="Times New Roman" w:hAnsi="Times New Roman"/>
      <w:sz w:val="0"/>
      <w:szCs w:val="0"/>
      <w:lang w:val="en-US" w:eastAsia="en-US"/>
    </w:rPr>
  </w:style>
  <w:style w:type="paragraph" w:styleId="af">
    <w:name w:val="endnote text"/>
    <w:basedOn w:val="a"/>
    <w:link w:val="af0"/>
    <w:uiPriority w:val="99"/>
    <w:semiHidden/>
    <w:rsid w:val="007D44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7D4406"/>
    <w:rPr>
      <w:rFonts w:ascii="Calibri" w:eastAsia="Times New Roman" w:hAnsi="Calibri" w:cs="Calibri"/>
      <w:lang w:val="en-US" w:eastAsia="en-US"/>
    </w:rPr>
  </w:style>
  <w:style w:type="character" w:styleId="af1">
    <w:name w:val="endnote reference"/>
    <w:basedOn w:val="a0"/>
    <w:uiPriority w:val="99"/>
    <w:semiHidden/>
    <w:rsid w:val="007D44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04"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6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0EE7"/>
    <w:rPr>
      <w:rFonts w:ascii="Calibri" w:hAnsi="Calibri" w:cs="Calibri"/>
      <w:lang w:val="en-US" w:eastAsia="en-US"/>
    </w:rPr>
  </w:style>
  <w:style w:type="paragraph" w:styleId="a5">
    <w:name w:val="footer"/>
    <w:basedOn w:val="a"/>
    <w:link w:val="a6"/>
    <w:uiPriority w:val="99"/>
    <w:rsid w:val="006606D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0EE7"/>
    <w:rPr>
      <w:rFonts w:ascii="Calibri" w:hAnsi="Calibri" w:cs="Calibri"/>
      <w:lang w:val="en-US" w:eastAsia="en-US"/>
    </w:rPr>
  </w:style>
  <w:style w:type="character" w:styleId="a7">
    <w:name w:val="page number"/>
    <w:basedOn w:val="a0"/>
    <w:uiPriority w:val="99"/>
    <w:rsid w:val="006606D7"/>
  </w:style>
  <w:style w:type="paragraph" w:styleId="a8">
    <w:name w:val="List Paragraph"/>
    <w:basedOn w:val="a"/>
    <w:uiPriority w:val="99"/>
    <w:qFormat/>
    <w:rsid w:val="00F41704"/>
    <w:pPr>
      <w:ind w:left="720"/>
    </w:pPr>
  </w:style>
  <w:style w:type="table" w:styleId="a9">
    <w:name w:val="Table Grid"/>
    <w:basedOn w:val="a1"/>
    <w:uiPriority w:val="99"/>
    <w:rsid w:val="00F41704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F4170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0EE7"/>
    <w:rPr>
      <w:rFonts w:ascii="Calibri" w:hAnsi="Calibri" w:cs="Calibri"/>
      <w:sz w:val="20"/>
      <w:szCs w:val="20"/>
      <w:lang w:val="en-US" w:eastAsia="en-US"/>
    </w:rPr>
  </w:style>
  <w:style w:type="character" w:styleId="ac">
    <w:name w:val="footnote reference"/>
    <w:basedOn w:val="a0"/>
    <w:uiPriority w:val="99"/>
    <w:semiHidden/>
    <w:rsid w:val="00F41704"/>
    <w:rPr>
      <w:vertAlign w:val="superscript"/>
    </w:rPr>
  </w:style>
  <w:style w:type="paragraph" w:styleId="ad">
    <w:name w:val="Balloon Text"/>
    <w:basedOn w:val="a"/>
    <w:link w:val="ae"/>
    <w:uiPriority w:val="99"/>
    <w:semiHidden/>
    <w:rsid w:val="00EB1F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0EE7"/>
    <w:rPr>
      <w:rFonts w:ascii="Times New Roman" w:hAnsi="Times New Roman"/>
      <w:sz w:val="0"/>
      <w:szCs w:val="0"/>
      <w:lang w:val="en-US" w:eastAsia="en-US"/>
    </w:rPr>
  </w:style>
  <w:style w:type="paragraph" w:styleId="af">
    <w:name w:val="endnote text"/>
    <w:basedOn w:val="a"/>
    <w:link w:val="af0"/>
    <w:uiPriority w:val="99"/>
    <w:semiHidden/>
    <w:rsid w:val="007D44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7D4406"/>
    <w:rPr>
      <w:rFonts w:ascii="Calibri" w:eastAsia="Times New Roman" w:hAnsi="Calibri" w:cs="Calibri"/>
      <w:lang w:val="en-US" w:eastAsia="en-US"/>
    </w:rPr>
  </w:style>
  <w:style w:type="character" w:styleId="af1">
    <w:name w:val="endnote reference"/>
    <w:basedOn w:val="a0"/>
    <w:uiPriority w:val="99"/>
    <w:semiHidden/>
    <w:rsid w:val="007D4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XXJ7TYMEEKJ2-119963647-17</_dlc_DocId>
    <_dlc_DocIdUrl xmlns="57504d04-691e-4fc4-8f09-4f19fdbe90f6">
      <Url>https://vip.gov.mari.ru/anti-corruption/_layouts/DocIdRedir.aspx?ID=XXJ7TYMEEKJ2-119963647-17</Url>
      <Description>XXJ7TYMEEKJ2-119963647-17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C282072EC80146B305E75457E98F70" ma:contentTypeVersion="1" ma:contentTypeDescription="Создание документа." ma:contentTypeScope="" ma:versionID="0d181b0516600c0aac9d9808cf12e61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16904-1F8B-48EB-A863-1FB5BB3C7794}"/>
</file>

<file path=customXml/itemProps2.xml><?xml version="1.0" encoding="utf-8"?>
<ds:datastoreItem xmlns:ds="http://schemas.openxmlformats.org/officeDocument/2006/customXml" ds:itemID="{E16C5BCA-0135-4881-A019-32D688E48AC3}"/>
</file>

<file path=customXml/itemProps3.xml><?xml version="1.0" encoding="utf-8"?>
<ds:datastoreItem xmlns:ds="http://schemas.openxmlformats.org/officeDocument/2006/customXml" ds:itemID="{BCD2E132-B941-4C1B-BD43-59E98F39C895}"/>
</file>

<file path=customXml/itemProps4.xml><?xml version="1.0" encoding="utf-8"?>
<ds:datastoreItem xmlns:ds="http://schemas.openxmlformats.org/officeDocument/2006/customXml" ds:itemID="{02BC87EE-2172-4E27-AE30-689332ECB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3492</Words>
  <Characters>19911</Characters>
  <Application>Microsoft Office Word</Application>
  <DocSecurity>0</DocSecurity>
  <Lines>165</Lines>
  <Paragraphs>46</Paragraphs>
  <ScaleCrop>false</ScaleCrop>
  <Company>TI</Company>
  <LinksUpToDate>false</LinksUpToDate>
  <CharactersWithSpaces>23357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оценки эффективности деятельности подразделений кадровых служб федеральных государственных органов по профилактике коррупционных и иных правонарушений и алгоритм их применения (Минтруд России, письмо от 20 августа 2013 г. № 18-2/10/1-3816) </dc:title>
  <dc:creator>ZivotkevichTI</dc:creator>
  <cp:lastModifiedBy>Информсреда_СозоноваТ</cp:lastModifiedBy>
  <cp:revision>2</cp:revision>
  <cp:lastPrinted>2013-08-21T08:28:00Z</cp:lastPrinted>
  <dcterms:created xsi:type="dcterms:W3CDTF">2013-09-26T12:28:00Z</dcterms:created>
  <dcterms:modified xsi:type="dcterms:W3CDTF">2013-09-26T12:28:00Z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0x010100CDC282072EC80146B305E75457E98F70</vt:lpwstr>
  </property>
  <property fmtid="{D5CDD505-2E9C-101B-9397-08002B2CF9AE}" pid="3" name="_dlc_DocIdItemGuid">
    <vt:lpwstr>b57e31be-fcf5-46c7-94a0-c510045a25d5</vt:lpwstr>
  </property>
</Properties>
</file>