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8" w:rsidRDefault="00FA5428" w:rsidP="00FA5428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FA5428" w:rsidRDefault="00FA5428" w:rsidP="00FA5428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428" w:rsidRPr="00FA5428" w:rsidRDefault="00FA5428" w:rsidP="00FA542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FA5428" w:rsidRPr="00FA5428" w:rsidTr="00FA542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28" w:rsidRPr="00FA5428" w:rsidRDefault="00FA5428" w:rsidP="00FA54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FA5428" w:rsidRPr="00FA5428" w:rsidRDefault="00FA5428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5428"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428" w:rsidRPr="00FA5428" w:rsidRDefault="00FA5428" w:rsidP="00FA54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FA5428" w:rsidRPr="00FA5428" w:rsidTr="00FA542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A5428" w:rsidRPr="00FA5428" w:rsidRDefault="00FA5428" w:rsidP="00FA54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FA5428" w:rsidRPr="00FA5428" w:rsidRDefault="00FA5428" w:rsidP="00FA54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5428" w:rsidRPr="00FA5428" w:rsidRDefault="00FA5428" w:rsidP="00FA5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C64A4" w:rsidRDefault="00FC64A4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428" w:rsidRDefault="00FA5428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318" w:rsidRDefault="00D70318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0EF" w:rsidRDefault="00BC40EF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2017 года №</w:t>
      </w:r>
      <w:r w:rsidR="00D70318">
        <w:rPr>
          <w:rFonts w:ascii="Times New Roman" w:hAnsi="Times New Roman" w:cs="Times New Roman"/>
          <w:sz w:val="28"/>
          <w:szCs w:val="28"/>
        </w:rPr>
        <w:t xml:space="preserve"> 359</w:t>
      </w:r>
    </w:p>
    <w:p w:rsidR="00FC64A4" w:rsidRDefault="00FC64A4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4A4" w:rsidRDefault="00FC64A4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318" w:rsidRDefault="00BC40EF" w:rsidP="00BC4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A4">
        <w:rPr>
          <w:rFonts w:ascii="Times New Roman" w:hAnsi="Times New Roman" w:cs="Times New Roman"/>
          <w:b/>
          <w:sz w:val="28"/>
          <w:szCs w:val="28"/>
        </w:rPr>
        <w:t xml:space="preserve">О работе учреждений культуры в организации </w:t>
      </w:r>
    </w:p>
    <w:p w:rsidR="00D70318" w:rsidRDefault="00BC40EF" w:rsidP="00BC4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A4">
        <w:rPr>
          <w:rFonts w:ascii="Times New Roman" w:hAnsi="Times New Roman" w:cs="Times New Roman"/>
          <w:b/>
          <w:sz w:val="28"/>
          <w:szCs w:val="28"/>
        </w:rPr>
        <w:t>социально-культурной жизни населения</w:t>
      </w:r>
      <w:r w:rsidR="00FC6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0EF" w:rsidRPr="00FC64A4" w:rsidRDefault="00FC64A4" w:rsidP="00BC4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</w:t>
      </w:r>
    </w:p>
    <w:p w:rsidR="00D70318" w:rsidRDefault="00D70318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428" w:rsidRDefault="00FA5428" w:rsidP="00BC4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0EF" w:rsidRDefault="00BC40EF" w:rsidP="00BC4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директора Муниципального </w:t>
      </w:r>
      <w:r w:rsidR="0066699C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66699C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«Сернурская централизованная </w:t>
      </w:r>
      <w:r w:rsidR="00FC64A4">
        <w:rPr>
          <w:rFonts w:ascii="Times New Roman" w:hAnsi="Times New Roman" w:cs="Times New Roman"/>
          <w:sz w:val="28"/>
          <w:szCs w:val="28"/>
        </w:rPr>
        <w:t xml:space="preserve">клубная </w:t>
      </w:r>
      <w:r>
        <w:rPr>
          <w:rFonts w:ascii="Times New Roman" w:hAnsi="Times New Roman" w:cs="Times New Roman"/>
          <w:sz w:val="28"/>
          <w:szCs w:val="28"/>
        </w:rPr>
        <w:t xml:space="preserve">система» Антоновой В.А. </w:t>
      </w:r>
      <w:r w:rsidR="007967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оллегия администрации Сернурского муниципального района отмечает, что деятельность клубных учреждений культуры направлена на организацию социально-культурно</w:t>
      </w:r>
      <w:r w:rsidR="00707D53">
        <w:rPr>
          <w:rFonts w:ascii="Times New Roman" w:hAnsi="Times New Roman" w:cs="Times New Roman"/>
          <w:sz w:val="28"/>
          <w:szCs w:val="28"/>
        </w:rPr>
        <w:t>й жизни населения района в соответствии с государственными, региональными и муниципальными программами по развитию культуры, а также выполнения «дорожной карты» по предоставлению муниципальных услуг в области культуры.</w:t>
      </w:r>
      <w:proofErr w:type="gramEnd"/>
    </w:p>
    <w:p w:rsidR="00707D53" w:rsidRDefault="00707D53" w:rsidP="00BC4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категорий населения предлагаются дифференцированные мероприятия с учетом возрастных особенностей</w:t>
      </w:r>
      <w:r w:rsidR="000E20ED">
        <w:rPr>
          <w:rFonts w:ascii="Times New Roman" w:hAnsi="Times New Roman" w:cs="Times New Roman"/>
          <w:sz w:val="28"/>
          <w:szCs w:val="28"/>
        </w:rPr>
        <w:t>, характера, интеллектуальных, творческих способностей, вероисповедования. Достаточное внимание уделяется работе с социально - незащищенными категориями граждан – ветеранам труда, детям из неполных, неблагополучных семей, инвалидам.</w:t>
      </w:r>
    </w:p>
    <w:p w:rsidR="000E20ED" w:rsidRDefault="000E20ED" w:rsidP="00BC4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учреждений культуры ведется по нескольким направлениям: сохранение и развитие этнокультуры, любительского художественного творчества; нравственно-эстетического, патриотического, экологического воспитания; профилактика терроризма, экст</w:t>
      </w:r>
      <w:r w:rsidR="007029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емизма, безнадзорности и </w:t>
      </w:r>
      <w:r w:rsidR="0070294D">
        <w:rPr>
          <w:rFonts w:ascii="Times New Roman" w:hAnsi="Times New Roman" w:cs="Times New Roman"/>
          <w:sz w:val="28"/>
          <w:szCs w:val="28"/>
        </w:rPr>
        <w:t>правонарушений среди подростков.</w:t>
      </w:r>
    </w:p>
    <w:p w:rsidR="0070294D" w:rsidRDefault="0070294D" w:rsidP="00BC4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Сложившаяся социально-культурная ситуация требует необходимости дальнейшей коммерциализации услуг учреждений культуры, а значит, необходимо наращивать темпы повышения платных услуг населению учреждениями культуры.</w:t>
      </w:r>
    </w:p>
    <w:p w:rsidR="0070294D" w:rsidRDefault="0070294D" w:rsidP="00BC40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в целях повышения качества организации социально-культурной жизни</w:t>
      </w:r>
      <w:r w:rsidR="00FC64A4">
        <w:rPr>
          <w:rFonts w:ascii="Times New Roman" w:hAnsi="Times New Roman" w:cs="Times New Roman"/>
          <w:sz w:val="28"/>
          <w:szCs w:val="28"/>
        </w:rPr>
        <w:t xml:space="preserve"> населения Сернурского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967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7967A0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7967A0">
        <w:rPr>
          <w:rFonts w:ascii="Times New Roman" w:hAnsi="Times New Roman" w:cs="Times New Roman"/>
          <w:sz w:val="28"/>
          <w:szCs w:val="28"/>
        </w:rPr>
        <w:t xml:space="preserve"> я «</w:t>
      </w:r>
      <w:r>
        <w:rPr>
          <w:rFonts w:ascii="Times New Roman" w:hAnsi="Times New Roman" w:cs="Times New Roman"/>
          <w:sz w:val="28"/>
          <w:szCs w:val="28"/>
        </w:rPr>
        <w:t>Сернурск</w:t>
      </w:r>
      <w:r w:rsidR="007967A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67A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70294D" w:rsidRDefault="0070294D" w:rsidP="00681C0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директора Муниципального </w:t>
      </w:r>
      <w:r w:rsidR="007967A0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7967A0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«Сернурская централизованная </w:t>
      </w:r>
      <w:r w:rsidR="00FC64A4">
        <w:rPr>
          <w:rFonts w:ascii="Times New Roman" w:hAnsi="Times New Roman" w:cs="Times New Roman"/>
          <w:sz w:val="28"/>
          <w:szCs w:val="28"/>
        </w:rPr>
        <w:t xml:space="preserve">клубная </w:t>
      </w:r>
      <w:r>
        <w:rPr>
          <w:rFonts w:ascii="Times New Roman" w:hAnsi="Times New Roman" w:cs="Times New Roman"/>
          <w:sz w:val="28"/>
          <w:szCs w:val="28"/>
        </w:rPr>
        <w:t xml:space="preserve">система» Антоновой В.А. </w:t>
      </w:r>
      <w:r w:rsidR="007967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работе учреждений культуры в организации социально-культурной жизни </w:t>
      </w:r>
      <w:r w:rsidR="00681C0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967A0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</w:t>
      </w:r>
      <w:r w:rsidR="00681C0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81C09" w:rsidRDefault="00681C09" w:rsidP="00681C0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FC64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6F0BC0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«Отдел культуры администрации </w:t>
      </w:r>
      <w:r w:rsidR="006F0B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</w:t>
      </w:r>
      <w:r w:rsidR="006F0BC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0BC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А.А.:</w:t>
      </w:r>
    </w:p>
    <w:p w:rsidR="00681C09" w:rsidRDefault="00F63E5F" w:rsidP="00681C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разработать и внедрить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r w:rsidR="00681C09">
        <w:rPr>
          <w:rFonts w:ascii="Times New Roman" w:hAnsi="Times New Roman" w:cs="Times New Roman"/>
          <w:sz w:val="28"/>
          <w:szCs w:val="28"/>
        </w:rPr>
        <w:t>культурную</w:t>
      </w:r>
      <w:proofErr w:type="spellEnd"/>
      <w:r w:rsidR="00681C09">
        <w:rPr>
          <w:rFonts w:ascii="Times New Roman" w:hAnsi="Times New Roman" w:cs="Times New Roman"/>
          <w:sz w:val="28"/>
          <w:szCs w:val="28"/>
        </w:rPr>
        <w:t xml:space="preserve"> практику учреждений культуры инновационные формы и методы деятельности в соответствии с запросами и потребностями возрастных категорий населения;</w:t>
      </w:r>
    </w:p>
    <w:p w:rsidR="00681C09" w:rsidRDefault="00F63E5F" w:rsidP="00681C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1C09">
        <w:rPr>
          <w:rFonts w:ascii="Times New Roman" w:hAnsi="Times New Roman" w:cs="Times New Roman"/>
          <w:sz w:val="28"/>
          <w:szCs w:val="28"/>
        </w:rPr>
        <w:t xml:space="preserve">) расширить виды 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населению:</w:t>
      </w:r>
    </w:p>
    <w:p w:rsidR="00F63E5F" w:rsidRDefault="00F63E5F" w:rsidP="00D55190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план выездной концертной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55190" w:rsidRDefault="00D55190" w:rsidP="00D55190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практиковать выезды сборных концертных программ;</w:t>
      </w:r>
    </w:p>
    <w:p w:rsidR="00681C09" w:rsidRDefault="00D55190" w:rsidP="00681C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81C09">
        <w:rPr>
          <w:rFonts w:ascii="Times New Roman" w:hAnsi="Times New Roman" w:cs="Times New Roman"/>
          <w:sz w:val="28"/>
          <w:szCs w:val="28"/>
        </w:rPr>
        <w:t>) обучить специалистов учреждений культуры маркетинговым методикам и технологиям распространен</w:t>
      </w:r>
      <w:r>
        <w:rPr>
          <w:rFonts w:ascii="Times New Roman" w:hAnsi="Times New Roman" w:cs="Times New Roman"/>
          <w:sz w:val="28"/>
          <w:szCs w:val="28"/>
        </w:rPr>
        <w:t>ия платных услуг сферы культуры;</w:t>
      </w:r>
    </w:p>
    <w:p w:rsidR="00D55190" w:rsidRDefault="00D55190" w:rsidP="00681C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анализировать и согласовывать ежегодные планы оказания 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руководителями учреждений культуры;</w:t>
      </w:r>
    </w:p>
    <w:p w:rsidR="00D55190" w:rsidRDefault="00D55190" w:rsidP="00681C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продолжить работу по разработке проектов на участие в целевых федеральных, республиканских программах, направленных на развитие культуры;</w:t>
      </w:r>
    </w:p>
    <w:p w:rsidR="00D55190" w:rsidRDefault="00D55190" w:rsidP="00681C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районного методического кабинета по работе кураторов – методистов, обслуживающих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района.</w:t>
      </w:r>
    </w:p>
    <w:p w:rsidR="00681C09" w:rsidRDefault="00681C09" w:rsidP="00681C0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Ямбаршеву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681C09" w:rsidRDefault="00681C09" w:rsidP="00681C0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5F7813" w:rsidRDefault="005F7813" w:rsidP="00681C0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855" w:rsidRDefault="003B7855" w:rsidP="00681C0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13" w:rsidRDefault="005F7813" w:rsidP="00681C0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4992"/>
      </w:tblGrid>
      <w:tr w:rsidR="00CF6119" w:rsidRPr="00CF6119" w:rsidTr="00CF6119">
        <w:tc>
          <w:tcPr>
            <w:tcW w:w="3828" w:type="dxa"/>
          </w:tcPr>
          <w:p w:rsidR="00CF6119" w:rsidRPr="00CF6119" w:rsidRDefault="00CF6119" w:rsidP="00CF61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Pr="00CF61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F6119" w:rsidRPr="00CF6119" w:rsidRDefault="00CF6119" w:rsidP="00CF61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6119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</w:p>
          <w:p w:rsidR="00CF6119" w:rsidRPr="00CF6119" w:rsidRDefault="00CF6119" w:rsidP="00CF61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611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92" w:type="dxa"/>
          </w:tcPr>
          <w:p w:rsidR="00CF6119" w:rsidRPr="00CF6119" w:rsidRDefault="00CF6119" w:rsidP="00CF61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19" w:rsidRPr="00CF6119" w:rsidRDefault="00CF6119" w:rsidP="00CF61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19" w:rsidRPr="00CF6119" w:rsidRDefault="00CF6119" w:rsidP="00CF61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А</w:t>
            </w:r>
            <w:r w:rsidRPr="00CF6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Кугергин</w:t>
            </w:r>
          </w:p>
        </w:tc>
      </w:tr>
    </w:tbl>
    <w:p w:rsidR="00CF6119" w:rsidRDefault="00CF6119" w:rsidP="00CF6119">
      <w:pPr>
        <w:pStyle w:val="a5"/>
        <w:rPr>
          <w:rFonts w:ascii="Times New Roman" w:hAnsi="Times New Roman" w:cs="Times New Roman"/>
        </w:rPr>
      </w:pPr>
    </w:p>
    <w:sectPr w:rsidR="00CF6119" w:rsidSect="005F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FFB"/>
    <w:multiLevelType w:val="hybridMultilevel"/>
    <w:tmpl w:val="30D81FF6"/>
    <w:lvl w:ilvl="0" w:tplc="943AE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F47252"/>
    <w:multiLevelType w:val="hybridMultilevel"/>
    <w:tmpl w:val="DD3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EF"/>
    <w:rsid w:val="000A751E"/>
    <w:rsid w:val="000E20ED"/>
    <w:rsid w:val="00172244"/>
    <w:rsid w:val="00223D46"/>
    <w:rsid w:val="003B7855"/>
    <w:rsid w:val="005F0243"/>
    <w:rsid w:val="005F7813"/>
    <w:rsid w:val="0066699C"/>
    <w:rsid w:val="00681C09"/>
    <w:rsid w:val="006F0BC0"/>
    <w:rsid w:val="0070294D"/>
    <w:rsid w:val="00707D53"/>
    <w:rsid w:val="007967A0"/>
    <w:rsid w:val="009A280D"/>
    <w:rsid w:val="00A77CD8"/>
    <w:rsid w:val="00AF1FE9"/>
    <w:rsid w:val="00BC40EF"/>
    <w:rsid w:val="00CF6119"/>
    <w:rsid w:val="00D55190"/>
    <w:rsid w:val="00D67748"/>
    <w:rsid w:val="00D70318"/>
    <w:rsid w:val="00DA22A4"/>
    <w:rsid w:val="00F200AB"/>
    <w:rsid w:val="00F63E5F"/>
    <w:rsid w:val="00FA5428"/>
    <w:rsid w:val="00F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3"/>
  </w:style>
  <w:style w:type="paragraph" w:styleId="1">
    <w:name w:val="heading 1"/>
    <w:basedOn w:val="a"/>
    <w:next w:val="a"/>
    <w:link w:val="10"/>
    <w:qFormat/>
    <w:rsid w:val="00FA5428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4D"/>
    <w:pPr>
      <w:ind w:left="720"/>
      <w:contextualSpacing/>
    </w:pPr>
  </w:style>
  <w:style w:type="table" w:styleId="a4">
    <w:name w:val="Table Grid"/>
    <w:basedOn w:val="a1"/>
    <w:uiPriority w:val="59"/>
    <w:rsid w:val="005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61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5428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учреждений культуры в организации 
социально-культурной жизни населения Сернурского муниципального района</_x041e__x043f__x0438__x0441__x0430__x043d__x0438__x0435_>
    <_x041f__x0430__x043f__x043a__x0430_ xmlns="7c11704a-b922-4939-8652-48c2d65c5b07">2017 год</_x041f__x0430__x043f__x043a__x0430_>
    <_dlc_DocId xmlns="57504d04-691e-4fc4-8f09-4f19fdbe90f6">XXJ7TYMEEKJ2-1602-453</_dlc_DocId>
    <_dlc_DocIdUrl xmlns="57504d04-691e-4fc4-8f09-4f19fdbe90f6">
      <Url>https://vip.gov.mari.ru/sernur/_layouts/DocIdRedir.aspx?ID=XXJ7TYMEEKJ2-1602-453</Url>
      <Description>XXJ7TYMEEKJ2-1602-453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53C68-9FD0-4D31-B58E-5F22BE2BADFA}"/>
</file>

<file path=customXml/itemProps2.xml><?xml version="1.0" encoding="utf-8"?>
<ds:datastoreItem xmlns:ds="http://schemas.openxmlformats.org/officeDocument/2006/customXml" ds:itemID="{2C05BBA5-623D-4802-BE4F-BE66878CE01D}"/>
</file>

<file path=customXml/itemProps3.xml><?xml version="1.0" encoding="utf-8"?>
<ds:datastoreItem xmlns:ds="http://schemas.openxmlformats.org/officeDocument/2006/customXml" ds:itemID="{03B28385-D115-489E-9213-10CA4BA962CE}"/>
</file>

<file path=customXml/itemProps4.xml><?xml version="1.0" encoding="utf-8"?>
<ds:datastoreItem xmlns:ds="http://schemas.openxmlformats.org/officeDocument/2006/customXml" ds:itemID="{E60D5E1C-2A34-4691-9CE0-5A09FA7BA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18.10.2017 № 359</dc:title>
  <dc:creator>user</dc:creator>
  <cp:lastModifiedBy>Admin</cp:lastModifiedBy>
  <cp:revision>14</cp:revision>
  <dcterms:created xsi:type="dcterms:W3CDTF">2017-10-18T04:24:00Z</dcterms:created>
  <dcterms:modified xsi:type="dcterms:W3CDTF">2017-10-23T05:11:00Z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6c46b019-6aba-4641-93f7-9a702dc92823</vt:lpwstr>
  </property>
</Properties>
</file>